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3B3E" w:rsidRDefault="00C03B3E">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caps/>
          <w:sz w:val="28"/>
          <w:szCs w:val="28"/>
        </w:rPr>
      </w:pPr>
    </w:p>
    <w:p w:rsidR="00C03B3E" w:rsidRPr="00C03B3E" w:rsidRDefault="00C03B3E" w:rsidP="00C03B3E">
      <w:pPr>
        <w:widowControl w:val="0"/>
        <w:shd w:val="clear" w:color="000000" w:fill="auto"/>
        <w:suppressAutoHyphens/>
        <w:autoSpaceDE w:val="0"/>
        <w:autoSpaceDN w:val="0"/>
        <w:adjustRightInd w:val="0"/>
        <w:spacing w:after="0" w:line="360" w:lineRule="auto"/>
        <w:ind w:firstLine="709"/>
        <w:jc w:val="center"/>
        <w:rPr>
          <w:rFonts w:ascii="Times New Roman CYR" w:hAnsi="Times New Roman CYR" w:cs="Times New Roman CYR"/>
          <w:b/>
          <w:sz w:val="32"/>
          <w:szCs w:val="32"/>
        </w:rPr>
      </w:pPr>
      <w:r w:rsidRPr="00C03B3E">
        <w:rPr>
          <w:rFonts w:ascii="Times New Roman CYR" w:hAnsi="Times New Roman CYR" w:cs="Times New Roman CYR"/>
          <w:b/>
          <w:sz w:val="32"/>
          <w:szCs w:val="32"/>
        </w:rPr>
        <w:t>Деятельность фондовых бирж</w:t>
      </w:r>
    </w:p>
    <w:p w:rsidR="00C03B3E" w:rsidRDefault="00C03B3E" w:rsidP="00C03B3E">
      <w:pPr>
        <w:widowControl w:val="0"/>
        <w:shd w:val="clear" w:color="000000" w:fill="auto"/>
        <w:suppressAutoHyphens/>
        <w:autoSpaceDE w:val="0"/>
        <w:autoSpaceDN w:val="0"/>
        <w:adjustRightInd w:val="0"/>
        <w:spacing w:after="0" w:line="360" w:lineRule="auto"/>
        <w:ind w:firstLine="709"/>
        <w:jc w:val="center"/>
        <w:rPr>
          <w:rFonts w:ascii="Times New Roman CYR" w:hAnsi="Times New Roman CYR" w:cs="Times New Roman CYR"/>
          <w:sz w:val="28"/>
          <w:szCs w:val="28"/>
        </w:rPr>
      </w:pPr>
      <w:r>
        <w:rPr>
          <w:rFonts w:ascii="Times New Roman CYR" w:hAnsi="Times New Roman CYR" w:cs="Times New Roman CYR"/>
          <w:sz w:val="28"/>
          <w:szCs w:val="28"/>
        </w:rPr>
        <w:t>2012</w:t>
      </w:r>
    </w:p>
    <w:p w:rsidR="00C03B3E" w:rsidRPr="00C03B3E" w:rsidRDefault="00C03B3E" w:rsidP="00C03B3E">
      <w:pPr>
        <w:widowControl w:val="0"/>
        <w:shd w:val="clear" w:color="000000" w:fill="auto"/>
        <w:suppressAutoHyphens/>
        <w:autoSpaceDE w:val="0"/>
        <w:autoSpaceDN w:val="0"/>
        <w:adjustRightInd w:val="0"/>
        <w:spacing w:after="0" w:line="360" w:lineRule="auto"/>
        <w:ind w:firstLine="709"/>
        <w:jc w:val="center"/>
        <w:rPr>
          <w:rFonts w:ascii="Times New Roman CYR" w:hAnsi="Times New Roman CYR" w:cs="Times New Roman CYR"/>
          <w:sz w:val="28"/>
          <w:szCs w:val="28"/>
        </w:rPr>
      </w:pPr>
      <w:r>
        <w:rPr>
          <w:rFonts w:ascii="Times New Roman CYR" w:hAnsi="Times New Roman CYR" w:cs="Times New Roman CYR"/>
          <w:sz w:val="28"/>
          <w:szCs w:val="28"/>
        </w:rPr>
        <w:t>Диплом</w:t>
      </w:r>
    </w:p>
    <w:p w:rsidR="00C03B3E" w:rsidRDefault="00C03B3E">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caps/>
          <w:sz w:val="28"/>
          <w:szCs w:val="28"/>
        </w:rPr>
      </w:pPr>
    </w:p>
    <w:p w:rsidR="00C03B3E" w:rsidRDefault="00C03B3E">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caps/>
          <w:sz w:val="28"/>
          <w:szCs w:val="28"/>
        </w:rPr>
      </w:pP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z w:val="28"/>
          <w:szCs w:val="28"/>
        </w:rPr>
        <w:t>Содержание</w:t>
      </w:r>
    </w:p>
    <w:p w:rsidR="00CA7AE8" w:rsidRDefault="00CA7AE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CA7AE8" w:rsidRDefault="00054328">
      <w:pPr>
        <w:widowControl w:val="0"/>
        <w:shd w:val="clear" w:color="000000" w:fill="auto"/>
        <w:tabs>
          <w:tab w:val="right" w:leader="dot" w:pos="9622"/>
        </w:tabs>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t>ВВЕДЕНИЕ</w:t>
      </w:r>
    </w:p>
    <w:p w:rsidR="00CA7AE8" w:rsidRDefault="00054328">
      <w:pPr>
        <w:widowControl w:val="0"/>
        <w:shd w:val="clear" w:color="000000" w:fill="auto"/>
        <w:tabs>
          <w:tab w:val="right" w:leader="dot" w:pos="9622"/>
        </w:tabs>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t>РАЗДЕЛ 1. Теоретические основы функционирования фондовых бирж</w:t>
      </w:r>
    </w:p>
    <w:p w:rsidR="00CA7AE8" w:rsidRDefault="00054328">
      <w:pPr>
        <w:widowControl w:val="0"/>
        <w:shd w:val="clear" w:color="000000" w:fill="auto"/>
        <w:tabs>
          <w:tab w:val="right" w:leader="dot" w:pos="9622"/>
        </w:tabs>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t>.1 Понятие, функции и принципы деятельности фондовых бирж</w:t>
      </w:r>
    </w:p>
    <w:p w:rsidR="00CA7AE8" w:rsidRDefault="00054328">
      <w:pPr>
        <w:widowControl w:val="0"/>
        <w:shd w:val="clear" w:color="000000" w:fill="auto"/>
        <w:tabs>
          <w:tab w:val="right" w:leader="dot" w:pos="9622"/>
        </w:tabs>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t>.2 Исторические аспекты функционирования фондовых бирж</w:t>
      </w:r>
    </w:p>
    <w:p w:rsidR="00CA7AE8" w:rsidRDefault="00054328">
      <w:pPr>
        <w:widowControl w:val="0"/>
        <w:shd w:val="clear" w:color="000000" w:fill="auto"/>
        <w:tabs>
          <w:tab w:val="right" w:leader="dot" w:pos="9622"/>
        </w:tabs>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t>РАЗДЕЛ 2. Организация и анализ деятельности фондовых бирж</w:t>
      </w:r>
    </w:p>
    <w:p w:rsidR="00CA7AE8" w:rsidRDefault="00054328">
      <w:pPr>
        <w:widowControl w:val="0"/>
        <w:shd w:val="clear" w:color="000000" w:fill="auto"/>
        <w:tabs>
          <w:tab w:val="right" w:leader="dot" w:pos="9622"/>
        </w:tabs>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t>.1 Порядок организации и проведения биржевых торгов</w:t>
      </w:r>
    </w:p>
    <w:p w:rsidR="00CA7AE8" w:rsidRDefault="00054328">
      <w:pPr>
        <w:widowControl w:val="0"/>
        <w:shd w:val="clear" w:color="000000" w:fill="auto"/>
        <w:tabs>
          <w:tab w:val="right" w:leader="dot" w:pos="9622"/>
        </w:tabs>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t>.2 Биржевые фондовые индексы и рейтинги</w:t>
      </w:r>
    </w:p>
    <w:p w:rsidR="00CA7AE8" w:rsidRDefault="00054328">
      <w:pPr>
        <w:widowControl w:val="0"/>
        <w:shd w:val="clear" w:color="000000" w:fill="auto"/>
        <w:tabs>
          <w:tab w:val="right" w:leader="dot" w:pos="9622"/>
        </w:tabs>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t>.3 Анализ деятельности фондовых бирж в Украине</w:t>
      </w:r>
    </w:p>
    <w:p w:rsidR="00CA7AE8" w:rsidRDefault="00054328">
      <w:pPr>
        <w:widowControl w:val="0"/>
        <w:shd w:val="clear" w:color="000000" w:fill="auto"/>
        <w:tabs>
          <w:tab w:val="right" w:leader="dot" w:pos="9622"/>
        </w:tabs>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t>РАЗДЕЛ 3.Функционирование фондовых бирж: зарубежный опыт и развитие в Украине</w:t>
      </w:r>
    </w:p>
    <w:p w:rsidR="00CA7AE8" w:rsidRDefault="00054328">
      <w:pPr>
        <w:widowControl w:val="0"/>
        <w:shd w:val="clear" w:color="000000" w:fill="auto"/>
        <w:tabs>
          <w:tab w:val="right" w:leader="dot" w:pos="9622"/>
        </w:tabs>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t>.1 Зарубежный опыт биржевой деятельности</w:t>
      </w:r>
    </w:p>
    <w:p w:rsidR="00CA7AE8" w:rsidRDefault="00054328">
      <w:pPr>
        <w:widowControl w:val="0"/>
        <w:shd w:val="clear" w:color="000000" w:fill="auto"/>
        <w:tabs>
          <w:tab w:val="right" w:leader="dot" w:pos="9622"/>
        </w:tabs>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t>.2 Проблемы функционирования и пути развития деятельности фондовых бирж Украины</w:t>
      </w:r>
    </w:p>
    <w:p w:rsidR="00CA7AE8" w:rsidRDefault="00054328">
      <w:pPr>
        <w:widowControl w:val="0"/>
        <w:shd w:val="clear" w:color="000000" w:fill="auto"/>
        <w:tabs>
          <w:tab w:val="right" w:leader="dot" w:pos="9622"/>
        </w:tabs>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t>РАЗДЕЛ 4. Охрана труда и организационная структура</w:t>
      </w:r>
    </w:p>
    <w:p w:rsidR="00CA7AE8" w:rsidRDefault="00054328">
      <w:pPr>
        <w:widowControl w:val="0"/>
        <w:shd w:val="clear" w:color="000000" w:fill="auto"/>
        <w:tabs>
          <w:tab w:val="right" w:leader="dot" w:pos="9622"/>
        </w:tabs>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t>СУОТ</w:t>
      </w:r>
    </w:p>
    <w:p w:rsidR="00CA7AE8" w:rsidRDefault="00054328">
      <w:pPr>
        <w:widowControl w:val="0"/>
        <w:shd w:val="clear" w:color="000000" w:fill="auto"/>
        <w:tabs>
          <w:tab w:val="right" w:leader="dot" w:pos="9622"/>
        </w:tabs>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t>ВЫВОД</w:t>
      </w:r>
    </w:p>
    <w:p w:rsidR="00CA7AE8" w:rsidRDefault="00054328">
      <w:pPr>
        <w:widowControl w:val="0"/>
        <w:shd w:val="clear" w:color="000000" w:fill="auto"/>
        <w:tabs>
          <w:tab w:val="right" w:leader="dot" w:pos="9622"/>
        </w:tabs>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t>СПИСОК ЛИТЕРАТУРЫ</w:t>
      </w:r>
    </w:p>
    <w:p w:rsidR="00CA7AE8" w:rsidRDefault="00CA7AE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caps/>
          <w:sz w:val="28"/>
          <w:szCs w:val="28"/>
          <w:lang w:val="uk-UA"/>
        </w:rPr>
      </w:pPr>
      <w:r>
        <w:rPr>
          <w:rFonts w:ascii="Times New Roman CYR" w:hAnsi="Times New Roman CYR" w:cs="Times New Roman CYR"/>
          <w:sz w:val="28"/>
          <w:szCs w:val="28"/>
          <w:lang w:val="uk-UA"/>
        </w:rPr>
        <w:lastRenderedPageBreak/>
        <w:br w:type="page"/>
      </w:r>
      <w:r>
        <w:rPr>
          <w:rFonts w:ascii="Times New Roman CYR" w:hAnsi="Times New Roman CYR" w:cs="Times New Roman CYR"/>
          <w:caps/>
          <w:sz w:val="28"/>
          <w:szCs w:val="28"/>
          <w:lang w:val="uk-UA"/>
        </w:rPr>
        <w:lastRenderedPageBreak/>
        <w:t>Введение</w:t>
      </w:r>
    </w:p>
    <w:p w:rsidR="00CA7AE8" w:rsidRDefault="00054328">
      <w:pPr>
        <w:widowControl w:val="0"/>
        <w:shd w:val="clear" w:color="000000" w:fill="auto"/>
        <w:autoSpaceDE w:val="0"/>
        <w:autoSpaceDN w:val="0"/>
        <w:adjustRightInd w:val="0"/>
        <w:spacing w:after="0" w:line="360" w:lineRule="auto"/>
        <w:jc w:val="center"/>
        <w:rPr>
          <w:rFonts w:ascii="Times New Roman CYR" w:hAnsi="Times New Roman CYR" w:cs="Times New Roman CYR"/>
          <w:color w:val="FFFFFF"/>
          <w:sz w:val="28"/>
          <w:szCs w:val="28"/>
          <w:lang w:val="uk-UA"/>
        </w:rPr>
      </w:pPr>
      <w:r>
        <w:rPr>
          <w:rFonts w:ascii="Times New Roman CYR" w:hAnsi="Times New Roman CYR" w:cs="Times New Roman CYR"/>
          <w:color w:val="FFFFFF"/>
          <w:sz w:val="28"/>
          <w:szCs w:val="28"/>
        </w:rPr>
        <w:t>фондовый биржа торги украина</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Фондовая биржа - организационно оформленный в учреждение и постоянно функционирующий рынок, на котором совершаются сделки купли-продажи ценных бумаг. Биржа предоставляет своим клиентам (торговцам) помещение, услуги, необходимую инфраструктуру, определенные гарантии по сделкам, регулирует торговые операции на основании биржевых правил.</w:t>
      </w:r>
    </w:p>
    <w:p w:rsidR="00F01C42" w:rsidRPr="00F01C42" w:rsidRDefault="00F01C42" w:rsidP="00F01C42">
      <w:pPr>
        <w:widowControl w:val="0"/>
        <w:autoSpaceDE w:val="0"/>
        <w:autoSpaceDN w:val="0"/>
        <w:adjustRightInd w:val="0"/>
        <w:spacing w:after="0" w:line="240" w:lineRule="auto"/>
        <w:jc w:val="center"/>
        <w:rPr>
          <w:rFonts w:ascii="Times New Roman CYR" w:eastAsia="Times New Roman" w:hAnsi="Times New Roman CYR" w:cs="Times New Roman CYR"/>
          <w:b/>
          <w:sz w:val="28"/>
          <w:szCs w:val="28"/>
        </w:rPr>
      </w:pPr>
      <w:r w:rsidRPr="00F01C42">
        <w:rPr>
          <w:rFonts w:ascii="Times New Roman CYR" w:eastAsia="Times New Roman" w:hAnsi="Times New Roman CYR" w:cs="Times New Roman CYR"/>
          <w:b/>
          <w:sz w:val="28"/>
          <w:szCs w:val="28"/>
        </w:rPr>
        <w:t>Вернуться в каталог готовых дипломов и магистерских диссертаций –</w:t>
      </w:r>
    </w:p>
    <w:p w:rsidR="00F01C42" w:rsidRDefault="0017582F" w:rsidP="00F01C4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hyperlink r:id="rId7" w:history="1">
        <w:r w:rsidR="00F01C42" w:rsidRPr="00F01C42">
          <w:rPr>
            <w:rFonts w:ascii="Times New Roman CYR" w:eastAsia="Times New Roman" w:hAnsi="Times New Roman CYR" w:cs="Times New Roman CYR"/>
            <w:b/>
            <w:color w:val="0000FF"/>
            <w:sz w:val="28"/>
            <w:szCs w:val="28"/>
            <w:u w:val="single"/>
            <w:lang w:val="en-US"/>
          </w:rPr>
          <w:t>http</w:t>
        </w:r>
        <w:r w:rsidR="00F01C42" w:rsidRPr="00F01C42">
          <w:rPr>
            <w:rFonts w:ascii="Times New Roman CYR" w:eastAsia="Times New Roman" w:hAnsi="Times New Roman CYR" w:cs="Times New Roman CYR"/>
            <w:b/>
            <w:color w:val="0000FF"/>
            <w:sz w:val="28"/>
            <w:szCs w:val="28"/>
            <w:u w:val="single"/>
          </w:rPr>
          <w:t>://учебники.информ2000.рф/</w:t>
        </w:r>
        <w:r w:rsidR="00F01C42" w:rsidRPr="00F01C42">
          <w:rPr>
            <w:rFonts w:ascii="Times New Roman CYR" w:eastAsia="Times New Roman" w:hAnsi="Times New Roman CYR" w:cs="Times New Roman CYR"/>
            <w:b/>
            <w:color w:val="0000FF"/>
            <w:sz w:val="28"/>
            <w:szCs w:val="28"/>
            <w:u w:val="single"/>
            <w:lang w:val="en-US"/>
          </w:rPr>
          <w:t>diplom</w:t>
        </w:r>
        <w:r w:rsidR="00F01C42" w:rsidRPr="00F01C42">
          <w:rPr>
            <w:rFonts w:ascii="Times New Roman CYR" w:eastAsia="Times New Roman" w:hAnsi="Times New Roman CYR" w:cs="Times New Roman CYR"/>
            <w:b/>
            <w:color w:val="0000FF"/>
            <w:sz w:val="28"/>
            <w:szCs w:val="28"/>
            <w:u w:val="single"/>
          </w:rPr>
          <w:t>.</w:t>
        </w:r>
        <w:r w:rsidR="00F01C42" w:rsidRPr="00F01C42">
          <w:rPr>
            <w:rFonts w:ascii="Times New Roman CYR" w:eastAsia="Times New Roman" w:hAnsi="Times New Roman CYR" w:cs="Times New Roman CYR"/>
            <w:b/>
            <w:color w:val="0000FF"/>
            <w:sz w:val="28"/>
            <w:szCs w:val="28"/>
            <w:u w:val="single"/>
            <w:lang w:val="en-US"/>
          </w:rPr>
          <w:t>shtml</w:t>
        </w:r>
      </w:hyperlink>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Экономическая функция фондовой биржи заключается в ускорении обращения капитала, обеспечении возможности мобилизации капитала для вложения в различные отрасли промышленности и экономики, его аккумуляции и оперативного перемещения из одной отрасли в другую. На нормально функционирующем фондовом рынке для каждого акционера капитал, вложенный в акции или в облигации, имеет такой же ликвидный характер, как и наличные деньги. Эти ценные бумаги чаще всего в любой момент можно продать на бирже и часто даже заработать на этом. Также фондовая биржа обеспечивает регулирование обращения ценных бумаг путем создания благоприятных условий для торговли ценными бумагами и их соответствующей котировки.</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Актуальность исследования заключаться в том, что рыночная экономика невозможна без активно функционирующего фондового рынка. Поэтому одним из важнейших направлений регулирования развития ее реального сектора является обеспечение полноценной деятельности организованного рынка ценных бумаг. В Украине его развитие отражает противоречия переходного периода, связанного с коренным реформированием экономики и социальной сферы. Несмотря на то, что за последнее время удалось создать, хотя и </w:t>
      </w:r>
      <w:r>
        <w:rPr>
          <w:rFonts w:ascii="Times New Roman CYR" w:hAnsi="Times New Roman CYR" w:cs="Times New Roman CYR"/>
          <w:sz w:val="28"/>
          <w:szCs w:val="28"/>
        </w:rPr>
        <w:lastRenderedPageBreak/>
        <w:t>недостаточно совершенную инфраструктуру и механизмы регулирования фондового рынка, сам он в целом и его организационный сегмент, представленный фондовыми биржами, испытывают серьезные трудности, которые обусловлены спецификой нынешнего этапа реформирования экономики Украины.</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сложившейся в мире практики центральным звеном фондового рынка является фондовая биржа. Индикаторы биржевой торговли, в частности динамика курсов ценных бумаг, является надежным ориентиром для инвесторов. Фондовые биржи развитых стран сосредоточивают в себе значительную часть рынка ценных бумаг. В подавляющем большинстве стран мира их постоянное обращение обусловливает существование устойчивого вторичного рынка, что является неотъемлемым и характерным признаком активно действующей фондовой биржи.</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Этими важнейшими качествами украинские фондовые биржи пока не обладают. Перманентный кризис в экономике, сертификатная приватизация, крайне низкий уровень доходов подавляющего большинства населения никак не способствовали ни созданию стабильного фондового рынка в целом, ни биржевой торговли ценными бумагами и самих фондовых бирж частности. И хотя фондовые биржи активно участвовали в процессах денежного этапа приватизации, им не удалось организовать у себя устойчивый и ликвидный вторичный рынок корпоративных ценных бумаг.</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Низкие доходы фондовых бирж Украины, которые являются следствием небольших объемов биржевого оборота ценных бумаг, служат серьезным препятствием для их технического перевооружения, которое бы соответствовало современному мировому уровню. С другой стороны, крайне низкая ликвидность фондового рынка делает экономически неэффективными большие затраты на </w:t>
      </w:r>
      <w:r>
        <w:rPr>
          <w:rFonts w:ascii="Times New Roman CYR" w:hAnsi="Times New Roman CYR" w:cs="Times New Roman CYR"/>
          <w:sz w:val="28"/>
          <w:szCs w:val="28"/>
        </w:rPr>
        <w:lastRenderedPageBreak/>
        <w:t>создание и функционирование соответствующих технических систем. Далекая от оптимальности и сама инфраструктура организованного рынка ценных бумаг.</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целью работы является анализ деятельности фондовых бирж и выявление способов улучшения деятельности фондовых бирж Украины</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Исходя из цели работы, были поставлены следующие задачи:</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Исследование развития фондовых бирж в мире и в Украине;</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Проанализировать зарубежный опыт становления, развития и функционирования фондовых бирж;</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Провести анализ возможных путей решения проблем, стоящих перед фондовыми биржами в Украине;</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Определить основные направления развития фондовых бирж в Украине.</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Объектом исследования является рынок ценных бумаг.</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Предметом исследования является деятельность фондовых бирж в современной экономике. А так же проблемы их функционирования в Украине и методы решения.</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написании работы были использованы следующие методы: метод научной абстракции, методы анализа и синтеза; статистические методы, в частности группировки и обобщения, динамические сравнения, графический и табличный методы, исторический метод.</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Информационной базой исследования являются отечественные и зарубежные публикации, теоретические и методические разработки по проблеме развития фондового рынка, данные государственной и отраслевой статистики, отдельные информационные и статистические материалы о деятельности фондовых бирж.</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Данную тему также исследовали: Мозговой А.Н., Леонов С.А., Федоренко </w:t>
      </w:r>
      <w:r>
        <w:rPr>
          <w:rFonts w:ascii="Times New Roman CYR" w:hAnsi="Times New Roman CYR" w:cs="Times New Roman CYR"/>
          <w:sz w:val="28"/>
          <w:szCs w:val="28"/>
        </w:rPr>
        <w:lastRenderedPageBreak/>
        <w:t>А.М., Коваленко Ю.Н., Шкодин И.В., Калач Г.М., Селивестров В.В., Савченко Л. И другие.</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Научная новизна полученных результатов. Основным научным результатом является теоретическое обоснование и разработка методических и практических рекомендаций по развитию фондовых бирж как одного из важнейших направлений реформирования экономики Украины.</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Структура дипломной работы состоит из введения, четырех разделов, состоящих из подразделов заключения и списка использованной литературы.</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РАЗДЕЛ 1. теоретические основы функционирования фондовых бирж</w:t>
      </w:r>
    </w:p>
    <w:p w:rsidR="00CA7AE8" w:rsidRDefault="00CA7AE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CA7AE8" w:rsidRDefault="0005432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1.1</w:t>
      </w:r>
      <w:r>
        <w:rPr>
          <w:rFonts w:ascii="Times New Roman CYR" w:hAnsi="Times New Roman CYR" w:cs="Times New Roman CYR"/>
          <w:sz w:val="28"/>
          <w:szCs w:val="28"/>
        </w:rPr>
        <w:tab/>
        <w:t>Понятие и функции фондовых бирж</w:t>
      </w:r>
    </w:p>
    <w:p w:rsidR="00CA7AE8" w:rsidRDefault="00CA7AE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Фондовая биржа - это организация, которая создается без цели получения прибыли и занимается исключительно организацией заключения договоров купли и продажи ценных бумаг.</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Фондовая биржа выступает одним из регуляторов финансового рынка. Основная роль биржи заключается в обслуживании движения денежных капиталов.</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Роль фондовой биржи в экономике страны определяется, прежде всего, степенью разгосударствления собственности, а точнее долей акционерной собственности в производстве валового национального продукта. Кроме того, роль биржи зависит от уровня развития рынка ценных бумаг в целом.</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Основные задачи и функции фондовой биржи:</w:t>
      </w:r>
    </w:p>
    <w:p w:rsidR="00CA7AE8" w:rsidRDefault="00054328">
      <w:pPr>
        <w:widowControl w:val="0"/>
        <w:shd w:val="clear" w:color="000000" w:fill="auto"/>
        <w:tabs>
          <w:tab w:val="left" w:pos="514"/>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18"/>
          <w:szCs w:val="18"/>
        </w:rPr>
        <w:t>-</w:t>
      </w:r>
      <w:r>
        <w:rPr>
          <w:rFonts w:ascii="Times New Roman CYR" w:hAnsi="Times New Roman CYR" w:cs="Times New Roman CYR"/>
          <w:color w:val="000000"/>
          <w:sz w:val="18"/>
          <w:szCs w:val="18"/>
        </w:rPr>
        <w:tab/>
      </w:r>
      <w:r>
        <w:rPr>
          <w:rFonts w:ascii="Times New Roman CYR" w:hAnsi="Times New Roman CYR" w:cs="Times New Roman CYR"/>
          <w:sz w:val="28"/>
          <w:szCs w:val="28"/>
        </w:rPr>
        <w:t>определение четких правил проведения биржевых торгов ценными бумагами и другими финансовыми инструментами, организация и проведение регулярных биржевых торгов;</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18"/>
          <w:szCs w:val="18"/>
        </w:rPr>
        <w:t>-</w:t>
      </w:r>
      <w:r>
        <w:rPr>
          <w:rFonts w:ascii="Times New Roman CYR" w:hAnsi="Times New Roman CYR" w:cs="Times New Roman CYR"/>
          <w:color w:val="000000"/>
          <w:sz w:val="18"/>
          <w:szCs w:val="18"/>
        </w:rPr>
        <w:tab/>
      </w:r>
      <w:r>
        <w:rPr>
          <w:rFonts w:ascii="Times New Roman CYR" w:hAnsi="Times New Roman CYR" w:cs="Times New Roman CYR"/>
          <w:sz w:val="28"/>
          <w:szCs w:val="28"/>
        </w:rPr>
        <w:t>организационное, технологическое и техническое обеспечение проведения биржевых торгов;</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18"/>
          <w:szCs w:val="18"/>
        </w:rPr>
        <w:t>-</w:t>
      </w:r>
      <w:r>
        <w:rPr>
          <w:rFonts w:ascii="Times New Roman CYR" w:hAnsi="Times New Roman CYR" w:cs="Times New Roman CYR"/>
          <w:color w:val="000000"/>
          <w:sz w:val="18"/>
          <w:szCs w:val="18"/>
        </w:rPr>
        <w:tab/>
      </w:r>
      <w:r>
        <w:rPr>
          <w:rFonts w:ascii="Times New Roman CYR" w:hAnsi="Times New Roman CYR" w:cs="Times New Roman CYR"/>
          <w:sz w:val="28"/>
          <w:szCs w:val="28"/>
        </w:rPr>
        <w:t>разработка процедур листинга и делистинга, допуска к торговле на фондовой бирже;</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18"/>
          <w:szCs w:val="18"/>
        </w:rPr>
        <w:t>-</w:t>
      </w:r>
      <w:r>
        <w:rPr>
          <w:rFonts w:ascii="Times New Roman CYR" w:hAnsi="Times New Roman CYR" w:cs="Times New Roman CYR"/>
          <w:color w:val="000000"/>
          <w:sz w:val="18"/>
          <w:szCs w:val="18"/>
        </w:rPr>
        <w:tab/>
      </w:r>
      <w:r>
        <w:rPr>
          <w:rFonts w:ascii="Times New Roman CYR" w:hAnsi="Times New Roman CYR" w:cs="Times New Roman CYR"/>
          <w:sz w:val="28"/>
          <w:szCs w:val="28"/>
        </w:rPr>
        <w:t>ведение перечня участников торгов, фиксация объявленных заявок, заключенных биржевых соглашений и контроль над выполнением биржевых контрактов;</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18"/>
          <w:szCs w:val="18"/>
        </w:rPr>
        <w:t>-</w:t>
      </w:r>
      <w:r>
        <w:rPr>
          <w:rFonts w:ascii="Times New Roman CYR" w:hAnsi="Times New Roman CYR" w:cs="Times New Roman CYR"/>
          <w:color w:val="000000"/>
          <w:sz w:val="18"/>
          <w:szCs w:val="18"/>
        </w:rPr>
        <w:tab/>
      </w:r>
      <w:r>
        <w:rPr>
          <w:rFonts w:ascii="Times New Roman CYR" w:hAnsi="Times New Roman CYR" w:cs="Times New Roman CYR"/>
          <w:sz w:val="28"/>
          <w:szCs w:val="28"/>
        </w:rPr>
        <w:t xml:space="preserve">ведение перечня ценных бумаг и других финансовых инструментов, </w:t>
      </w:r>
      <w:r>
        <w:rPr>
          <w:rFonts w:ascii="Times New Roman CYR" w:hAnsi="Times New Roman CYR" w:cs="Times New Roman CYR"/>
          <w:sz w:val="28"/>
          <w:szCs w:val="28"/>
        </w:rPr>
        <w:lastRenderedPageBreak/>
        <w:t>внесенных в биржевой список;</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18"/>
          <w:szCs w:val="18"/>
        </w:rPr>
        <w:t>-</w:t>
      </w:r>
      <w:r>
        <w:rPr>
          <w:rFonts w:ascii="Times New Roman CYR" w:hAnsi="Times New Roman CYR" w:cs="Times New Roman CYR"/>
          <w:color w:val="000000"/>
          <w:sz w:val="18"/>
          <w:szCs w:val="18"/>
        </w:rPr>
        <w:tab/>
      </w:r>
      <w:r>
        <w:rPr>
          <w:rFonts w:ascii="Times New Roman CYR" w:hAnsi="Times New Roman CYR" w:cs="Times New Roman CYR"/>
          <w:sz w:val="28"/>
          <w:szCs w:val="28"/>
        </w:rPr>
        <w:t>обмен информацией с депозитарными и расчетно-клиринговыми учреждениями для обеспечения выполнения биржевых контрактов;</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18"/>
          <w:szCs w:val="18"/>
        </w:rPr>
        <w:t>-</w:t>
      </w:r>
      <w:r>
        <w:rPr>
          <w:rFonts w:ascii="Times New Roman CYR" w:hAnsi="Times New Roman CYR" w:cs="Times New Roman CYR"/>
          <w:color w:val="000000"/>
          <w:sz w:val="18"/>
          <w:szCs w:val="18"/>
        </w:rPr>
        <w:tab/>
      </w:r>
      <w:r>
        <w:rPr>
          <w:rFonts w:ascii="Times New Roman CYR" w:hAnsi="Times New Roman CYR" w:cs="Times New Roman CYR"/>
          <w:sz w:val="28"/>
          <w:szCs w:val="28"/>
        </w:rPr>
        <w:t>сохранение документов, относящихся к заключенным биржевым соглашениям и выполнению биржевых контрактов в депозитарной системе;</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18"/>
          <w:szCs w:val="18"/>
        </w:rPr>
        <w:t>-</w:t>
      </w:r>
      <w:r>
        <w:rPr>
          <w:rFonts w:ascii="Times New Roman CYR" w:hAnsi="Times New Roman CYR" w:cs="Times New Roman CYR"/>
          <w:color w:val="000000"/>
          <w:sz w:val="18"/>
          <w:szCs w:val="18"/>
        </w:rPr>
        <w:tab/>
      </w:r>
      <w:r>
        <w:rPr>
          <w:rFonts w:ascii="Times New Roman CYR" w:hAnsi="Times New Roman CYR" w:cs="Times New Roman CYR"/>
          <w:sz w:val="28"/>
          <w:szCs w:val="28"/>
        </w:rPr>
        <w:t>выполнение деятельности по проведению клиринга и расчетов по договорам с производными инструментами (деривативами), которые заключаются на данной бирже (организаторе торговли);</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18"/>
          <w:szCs w:val="18"/>
        </w:rPr>
        <w:t>-</w:t>
      </w:r>
      <w:r>
        <w:rPr>
          <w:rFonts w:ascii="Times New Roman CYR" w:hAnsi="Times New Roman CYR" w:cs="Times New Roman CYR"/>
          <w:color w:val="000000"/>
          <w:sz w:val="18"/>
          <w:szCs w:val="18"/>
        </w:rPr>
        <w:tab/>
      </w:r>
      <w:r>
        <w:rPr>
          <w:rFonts w:ascii="Times New Roman CYR" w:hAnsi="Times New Roman CYR" w:cs="Times New Roman CYR"/>
          <w:sz w:val="28"/>
          <w:szCs w:val="28"/>
        </w:rPr>
        <w:t>выполнение контроля над соблюдением членами фондовой биржи и другими лицами, которые имеют право принимать участие в биржевых торгах в соответствии с законодательством и правилами биржи;</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18"/>
          <w:szCs w:val="18"/>
        </w:rPr>
        <w:t>-</w:t>
      </w:r>
      <w:r>
        <w:rPr>
          <w:rFonts w:ascii="Times New Roman CYR" w:hAnsi="Times New Roman CYR" w:cs="Times New Roman CYR"/>
          <w:color w:val="000000"/>
          <w:sz w:val="18"/>
          <w:szCs w:val="18"/>
        </w:rPr>
        <w:tab/>
      </w:r>
      <w:r>
        <w:rPr>
          <w:rFonts w:ascii="Times New Roman CYR" w:hAnsi="Times New Roman CYR" w:cs="Times New Roman CYR"/>
          <w:sz w:val="28"/>
          <w:szCs w:val="28"/>
        </w:rPr>
        <w:t>соответствующее реагирование на выявленные нарушения законодательства и правил фондовой биржи;</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18"/>
          <w:szCs w:val="18"/>
        </w:rPr>
        <w:t>-</w:t>
      </w:r>
      <w:r>
        <w:rPr>
          <w:rFonts w:ascii="Times New Roman CYR" w:hAnsi="Times New Roman CYR" w:cs="Times New Roman CYR"/>
          <w:color w:val="000000"/>
          <w:sz w:val="18"/>
          <w:szCs w:val="18"/>
        </w:rPr>
        <w:tab/>
      </w:r>
      <w:r>
        <w:rPr>
          <w:rFonts w:ascii="Times New Roman CYR" w:hAnsi="Times New Roman CYR" w:cs="Times New Roman CYR"/>
          <w:sz w:val="28"/>
          <w:szCs w:val="28"/>
        </w:rPr>
        <w:t>проведение финансового мониторинга в соответствии с требованиями законодательства;</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18"/>
          <w:szCs w:val="18"/>
        </w:rPr>
        <w:t>-</w:t>
      </w:r>
      <w:r>
        <w:rPr>
          <w:rFonts w:ascii="Times New Roman CYR" w:hAnsi="Times New Roman CYR" w:cs="Times New Roman CYR"/>
          <w:color w:val="000000"/>
          <w:sz w:val="18"/>
          <w:szCs w:val="18"/>
        </w:rPr>
        <w:tab/>
      </w:r>
      <w:r>
        <w:rPr>
          <w:rFonts w:ascii="Times New Roman CYR" w:hAnsi="Times New Roman CYR" w:cs="Times New Roman CYR"/>
          <w:sz w:val="28"/>
          <w:szCs w:val="28"/>
        </w:rPr>
        <w:t>предоставление информационных услуг в части организации торговли ценными бумагами и другими финансовыми инструментами.[3, с.499]</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Фондовая биржа позволяет обеспечить концентрацию спроса и предложения ценных бумаг, их сбалансированность на основе биржевого ценообразования, реально отражающего уровень эффективности функционирования акционерного капитала.</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 организационно-правовой точки зрения фондовая биржа представляет собой финансовое посредническое учреждение с регламентированным режимом работы, где совершаются торговые сделки между продавцами и покупателями фондовых ценностей с участием биржевых посредников по официально закрепленным правилам. Эти правила устанавливаются как биржевым (Устав </w:t>
      </w:r>
      <w:r>
        <w:rPr>
          <w:rFonts w:ascii="Times New Roman CYR" w:hAnsi="Times New Roman CYR" w:cs="Times New Roman CYR"/>
          <w:sz w:val="28"/>
          <w:szCs w:val="28"/>
        </w:rPr>
        <w:lastRenderedPageBreak/>
        <w:t>биржи), так и государственным законодательством. Следует иметь в виду, что фондовая биржа как таковая и ее персонал не совершают сделок с ценными бумагами. Она лишь создает условия, необходимые для их совершения, обслуживает эти сделки, связывает продавца и покупателя, предоставляет помещение, консультационные и арбитражные услуги, техническое обслуживание и все необходимое для того, чтобы сделка могла состояться.</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точки зрения правового статуса в мировой практике существуют три типа фондовых бирж, а именно:</w:t>
      </w:r>
    </w:p>
    <w:p w:rsidR="00CA7AE8" w:rsidRDefault="00054328">
      <w:pPr>
        <w:widowControl w:val="0"/>
        <w:shd w:val="clear" w:color="000000" w:fill="auto"/>
        <w:tabs>
          <w:tab w:val="left" w:pos="72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18"/>
          <w:szCs w:val="18"/>
        </w:rPr>
        <w:t>1.</w:t>
      </w:r>
      <w:r>
        <w:rPr>
          <w:rFonts w:ascii="Times New Roman CYR" w:hAnsi="Times New Roman CYR" w:cs="Times New Roman CYR"/>
          <w:color w:val="000000"/>
          <w:sz w:val="18"/>
          <w:szCs w:val="18"/>
        </w:rPr>
        <w:tab/>
      </w:r>
      <w:r>
        <w:rPr>
          <w:rFonts w:ascii="Times New Roman CYR" w:hAnsi="Times New Roman CYR" w:cs="Times New Roman CYR"/>
          <w:sz w:val="28"/>
          <w:szCs w:val="28"/>
        </w:rPr>
        <w:t>публично-правовые;</w:t>
      </w:r>
    </w:p>
    <w:p w:rsidR="00CA7AE8" w:rsidRDefault="00054328">
      <w:pPr>
        <w:widowControl w:val="0"/>
        <w:shd w:val="clear" w:color="000000" w:fill="auto"/>
        <w:tabs>
          <w:tab w:val="left" w:pos="7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18"/>
          <w:szCs w:val="18"/>
        </w:rPr>
        <w:t>2.</w:t>
      </w:r>
      <w:r>
        <w:rPr>
          <w:rFonts w:ascii="Times New Roman CYR" w:hAnsi="Times New Roman CYR" w:cs="Times New Roman CYR"/>
          <w:color w:val="000000"/>
          <w:sz w:val="18"/>
          <w:szCs w:val="18"/>
        </w:rPr>
        <w:tab/>
      </w:r>
      <w:r>
        <w:rPr>
          <w:rFonts w:ascii="Times New Roman CYR" w:hAnsi="Times New Roman CYR" w:cs="Times New Roman CYR"/>
          <w:sz w:val="28"/>
          <w:szCs w:val="28"/>
        </w:rPr>
        <w:t>частные;</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18"/>
          <w:szCs w:val="18"/>
        </w:rPr>
        <w:t>3.</w:t>
      </w:r>
      <w:r>
        <w:rPr>
          <w:rFonts w:ascii="Times New Roman CYR" w:hAnsi="Times New Roman CYR" w:cs="Times New Roman CYR"/>
          <w:color w:val="000000"/>
          <w:sz w:val="18"/>
          <w:szCs w:val="18"/>
        </w:rPr>
        <w:tab/>
      </w:r>
      <w:r>
        <w:rPr>
          <w:rFonts w:ascii="Times New Roman CYR" w:hAnsi="Times New Roman CYR" w:cs="Times New Roman CYR"/>
          <w:sz w:val="28"/>
          <w:szCs w:val="28"/>
        </w:rPr>
        <w:t>смешанные.</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публично-правовая организация фондовая биржа находится под постоянным государственным контролем. Государство участвует в составлении Правил биржевой торговли и контролирует их выполнение, обеспечивает правопорядок на бирже во время торгов (зачастую и при помощи полиции), назначает биржевых маклеров и отстраняет их от работы и т.д. Публично-правовой тип фондовой биржи распространен, например, в Германии и Франции.</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Фондовые биржи как частные компании создаются в форме акционерных обществ. Такие биржи абсолютно самостоятельны в организации биржевой торговли. Все сделки на бирже совершаются в соответствии с действующим в стране законодательством, нарушение которого предполагает определенную правовую ответственность. Государство не берет на себя никаких гарантий по обеспечению стабильности биржевой торговли и снижению риска торговых сделок. Этот тип характерен для Англии и США.</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Если фондовые биржи создаются как акционерные общества, но при этом </w:t>
      </w:r>
      <w:r>
        <w:rPr>
          <w:rFonts w:ascii="Times New Roman CYR" w:hAnsi="Times New Roman CYR" w:cs="Times New Roman CYR"/>
          <w:sz w:val="28"/>
          <w:szCs w:val="28"/>
        </w:rPr>
        <w:lastRenderedPageBreak/>
        <w:t>не менее 50% их капитала принадлежит государству, они относятся к типу смешанных организаций. Во главе таких бирж стоят выборные биржевые органы. Подобные биржи функционируют в Австрии, Швейцарии и Швеции.</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Биржа концентрирует спрос и предложение на покупку и продажу ценных бумаг, определяет соотношение между текущим спросом и предложением, в результате которого выявляется цена как выражение равновесия временного и относительного, но достаточного для осуществления той или иной сделки.</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Цена, по которой заключаются сделки и ценные бумаги переходят из руки в руки, называется курсом. Биржевой курс используется как ориентир при заключении сделок, как в биржевом, так и во внебиржевом обороте.</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Следует отметить, что биржевое законодательство, как правило, не фиксирует порядок определения биржевого курса ценных бумаг. Однако в зависимости от принципов, положенных в основу котировки, различают:</w:t>
      </w:r>
    </w:p>
    <w:p w:rsidR="00CA7AE8" w:rsidRDefault="00054328">
      <w:pPr>
        <w:widowControl w:val="0"/>
        <w:shd w:val="clear" w:color="000000" w:fill="auto"/>
        <w:tabs>
          <w:tab w:val="left" w:pos="682"/>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18"/>
          <w:szCs w:val="18"/>
        </w:rPr>
        <w:t>1.</w:t>
      </w:r>
      <w:r>
        <w:rPr>
          <w:rFonts w:ascii="Times New Roman CYR" w:hAnsi="Times New Roman CYR" w:cs="Times New Roman CYR"/>
          <w:color w:val="000000"/>
          <w:sz w:val="18"/>
          <w:szCs w:val="18"/>
        </w:rPr>
        <w:tab/>
      </w:r>
      <w:r>
        <w:rPr>
          <w:rFonts w:ascii="Times New Roman CYR" w:hAnsi="Times New Roman CYR" w:cs="Times New Roman CYR"/>
          <w:sz w:val="28"/>
          <w:szCs w:val="28"/>
        </w:rPr>
        <w:t>метод единого курса, основанный на установлении единой (типичной) цены;</w:t>
      </w:r>
    </w:p>
    <w:p w:rsidR="00CA7AE8" w:rsidRDefault="00054328">
      <w:pPr>
        <w:widowControl w:val="0"/>
        <w:shd w:val="clear" w:color="000000" w:fill="auto"/>
        <w:tabs>
          <w:tab w:val="left" w:pos="67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18"/>
          <w:szCs w:val="18"/>
        </w:rPr>
        <w:t>2.</w:t>
      </w:r>
      <w:r>
        <w:rPr>
          <w:rFonts w:ascii="Times New Roman CYR" w:hAnsi="Times New Roman CYR" w:cs="Times New Roman CYR"/>
          <w:color w:val="000000"/>
          <w:sz w:val="18"/>
          <w:szCs w:val="18"/>
        </w:rPr>
        <w:tab/>
      </w:r>
      <w:r>
        <w:rPr>
          <w:rFonts w:ascii="Times New Roman CYR" w:hAnsi="Times New Roman CYR" w:cs="Times New Roman CYR"/>
          <w:sz w:val="28"/>
          <w:szCs w:val="28"/>
        </w:rPr>
        <w:t>регистрационный метод, базирующийся на регистрации фактических цен сделок, спроса и предложения (цен продавцов и покупателей).</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Биржевые операции осуществляют брокеры и дилеры.</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Брокеры осуществляют на бирже операции по купле-продаже ценных бумаг за счет своих клиентов, получая при этом вознаграждение. Дилеры производят на бирже операции по купле-продаже ценных бумаг от своего имени и за свой счет. [1, с.36-37]</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Фондовая биржа образуется и действует в организационно-правовой форме товарищества (кроме полного, коммандитного и товарищества с дополнительной ответственностью) или дочернего предприятия объединения торговцев ценными бумагами. Она выполняет свою деятельность в соответствии </w:t>
      </w:r>
      <w:r>
        <w:rPr>
          <w:rFonts w:ascii="Times New Roman CYR" w:hAnsi="Times New Roman CYR" w:cs="Times New Roman CYR"/>
          <w:sz w:val="28"/>
          <w:szCs w:val="28"/>
        </w:rPr>
        <w:lastRenderedPageBreak/>
        <w:t>с Гражданским кодексом Украины, законами, регулирующими вопросы создания, деятельности и прекращения юридических лиц, с особенностями, определенными Законом «О ценных бумагах и фондовом рынке».</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Украине фондовые биржи должны функционировать в соответствии с действующим законодательством и нормами «Положения о функционировании фондовых бирж». [4]</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выполнения своей деятельности фондовые биржи в Украине должны поддерживать собственный капитал в размере, не меньше чем 3 млн. грн., а для фондовых бирж, которые выполняют клиринг и расчеты, - не менее чем 6 млн. грн. Прибыль фондовой биржи направляется на ее развитие и не подлежит распределению между ее учредителями (участниками).</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Фондовая биржа создается не менее чем 20 учредителями - торговцами ценными бумагами, которые имеют лицензию на право проведения профессиональной деятельности на фондовом рынке, или их объединением, насчитывающим не менее 20 торговцев ценными бумагами. Доля одного торговца ценными бумагами не может быть больше, чем 5% уставного капитала фондовой биржи.[4]</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Фондовая биржа получает статус юридического лица с момента государственной регистрации, которая выполняется в порядке, установленном Законом Украины «О государственной регистрации юридических лиц и физических лиц - предпринимателей». Фондовая биржа имеет право осуществлять деятельность по организации торговли на фондовом рынке с момента получения лицензии Государственной комиссии по ценным бумагам и фондовому рынку.</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Член фондовой биржи - юридическое лицо, которое имеет лицензию на выполнение профессиональной деятельности на фондовом рынке - деятельности </w:t>
      </w:r>
      <w:r>
        <w:rPr>
          <w:rFonts w:ascii="Times New Roman CYR" w:hAnsi="Times New Roman CYR" w:cs="Times New Roman CYR"/>
          <w:sz w:val="28"/>
          <w:szCs w:val="28"/>
        </w:rPr>
        <w:lastRenderedPageBreak/>
        <w:t>по торговле ценными бумагами, получившее статус члена биржи в порядке, установленном фондовой биржей. В биржевых торгах могут принимать участие только уполномоченные представители участников торгов (членов фондовой биржи), которые имеют сертификат специалиста по торговле ценными бумагами, полученный в установленном законодательством порядке.</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Каждый член фондовой биржи имеет равные права относительно организации деятельности фондовой биржи как организатора торговли. В случае аннулирования полученной торговцем ценными бумагами лицензии на право ведения профессиональной деятельности на фондовом рынке его членство на фондовой бирже временно прекращается до возобновления им лицензии или передачи на биржу письма относительно исключения его из членов биржи. Другие основания прекращения или временной приостановки членства на фондовой бирже определяются правилами фондовой биржи. Членство в фондовой бирже также прекращается в случае аннулирования лицензии на право проведения профессиональной деятельности на фондовом рынке, выданной торговцу ценными бумагами.</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Устав фондовой биржи утверждается высшим органом фондовой биржи. В нем указываются: наименование и местонахождение фондовой биржи, порядок управления и формирования ее органов, их компетенция, цель деятельности, основания и порядок прекращения деятельности фондовой биржи, распределение имущества фондовой биржи в случае ее ликвидации.</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Фондовая биржа образует организационные условия для заключения договоров с ценными бумагами путем котировки ценных бумаг на основе данных по спросу и предложению, полученных от участников торгов на фондовой бирже. В торгах на бирже имеют право принимать участие члены фондовой биржи и другие лица в соответствии с законодательством.</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Правила фондовой биржи и изменения к ним утверждаются биржевым советом и регистрируются Комиссией. Правила фондовой биржи определяют следующие основные положения:</w:t>
      </w:r>
    </w:p>
    <w:p w:rsidR="00CA7AE8" w:rsidRDefault="00054328">
      <w:pPr>
        <w:widowControl w:val="0"/>
        <w:shd w:val="clear" w:color="000000" w:fill="auto"/>
        <w:tabs>
          <w:tab w:val="left" w:pos="514"/>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18"/>
          <w:szCs w:val="18"/>
        </w:rPr>
        <w:t>-</w:t>
      </w:r>
      <w:r>
        <w:rPr>
          <w:rFonts w:ascii="Times New Roman CYR" w:hAnsi="Times New Roman CYR" w:cs="Times New Roman CYR"/>
          <w:color w:val="000000"/>
          <w:sz w:val="18"/>
          <w:szCs w:val="18"/>
        </w:rPr>
        <w:tab/>
      </w:r>
      <w:r>
        <w:rPr>
          <w:rFonts w:ascii="Times New Roman CYR" w:hAnsi="Times New Roman CYR" w:cs="Times New Roman CYR"/>
          <w:sz w:val="28"/>
          <w:szCs w:val="28"/>
        </w:rPr>
        <w:t>организация и проведение биржевых торгов;</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18"/>
          <w:szCs w:val="18"/>
        </w:rPr>
        <w:t>-</w:t>
      </w:r>
      <w:r>
        <w:rPr>
          <w:rFonts w:ascii="Times New Roman CYR" w:hAnsi="Times New Roman CYR" w:cs="Times New Roman CYR"/>
          <w:color w:val="000000"/>
          <w:sz w:val="18"/>
          <w:szCs w:val="18"/>
        </w:rPr>
        <w:tab/>
      </w:r>
      <w:r>
        <w:rPr>
          <w:rFonts w:ascii="Times New Roman CYR" w:hAnsi="Times New Roman CYR" w:cs="Times New Roman CYR"/>
          <w:sz w:val="28"/>
          <w:szCs w:val="28"/>
        </w:rPr>
        <w:t>нормы листинга и делистинга денных бумаг;</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18"/>
          <w:szCs w:val="18"/>
        </w:rPr>
        <w:t>-</w:t>
      </w:r>
      <w:r>
        <w:rPr>
          <w:rFonts w:ascii="Times New Roman CYR" w:hAnsi="Times New Roman CYR" w:cs="Times New Roman CYR"/>
          <w:color w:val="000000"/>
          <w:sz w:val="18"/>
          <w:szCs w:val="18"/>
        </w:rPr>
        <w:tab/>
      </w:r>
      <w:r>
        <w:rPr>
          <w:rFonts w:ascii="Times New Roman CYR" w:hAnsi="Times New Roman CYR" w:cs="Times New Roman CYR"/>
          <w:sz w:val="28"/>
          <w:szCs w:val="28"/>
        </w:rPr>
        <w:t>допуск членов биржи и других лиц к биржевым торгам;</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18"/>
          <w:szCs w:val="18"/>
        </w:rPr>
        <w:t>-</w:t>
      </w:r>
      <w:r>
        <w:rPr>
          <w:rFonts w:ascii="Times New Roman CYR" w:hAnsi="Times New Roman CYR" w:cs="Times New Roman CYR"/>
          <w:color w:val="000000"/>
          <w:sz w:val="18"/>
          <w:szCs w:val="18"/>
        </w:rPr>
        <w:tab/>
      </w:r>
      <w:r>
        <w:rPr>
          <w:rFonts w:ascii="Times New Roman CYR" w:hAnsi="Times New Roman CYR" w:cs="Times New Roman CYR"/>
          <w:sz w:val="28"/>
          <w:szCs w:val="28"/>
        </w:rPr>
        <w:t>котировка ценных бумаг и публикация их биржевого курса;</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18"/>
          <w:szCs w:val="18"/>
        </w:rPr>
        <w:t>-</w:t>
      </w:r>
      <w:r>
        <w:rPr>
          <w:rFonts w:ascii="Times New Roman CYR" w:hAnsi="Times New Roman CYR" w:cs="Times New Roman CYR"/>
          <w:color w:val="000000"/>
          <w:sz w:val="18"/>
          <w:szCs w:val="18"/>
        </w:rPr>
        <w:tab/>
      </w:r>
      <w:r>
        <w:rPr>
          <w:rFonts w:ascii="Times New Roman CYR" w:hAnsi="Times New Roman CYR" w:cs="Times New Roman CYR"/>
          <w:sz w:val="28"/>
          <w:szCs w:val="28"/>
        </w:rPr>
        <w:t>раскрытие информации о деятельности биржи и ее публикация;</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18"/>
          <w:szCs w:val="18"/>
        </w:rPr>
        <w:t>-</w:t>
      </w:r>
      <w:r>
        <w:rPr>
          <w:rFonts w:ascii="Times New Roman CYR" w:hAnsi="Times New Roman CYR" w:cs="Times New Roman CYR"/>
          <w:color w:val="000000"/>
          <w:sz w:val="18"/>
          <w:szCs w:val="18"/>
        </w:rPr>
        <w:tab/>
      </w:r>
      <w:r>
        <w:rPr>
          <w:rFonts w:ascii="Times New Roman CYR" w:hAnsi="Times New Roman CYR" w:cs="Times New Roman CYR"/>
          <w:sz w:val="28"/>
          <w:szCs w:val="28"/>
        </w:rPr>
        <w:t>разрешение споров между членами фондовой биржи и другими лицами, имеющими право принимать участие в биржевых торгах в соответствии с законодательством;</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18"/>
          <w:szCs w:val="18"/>
        </w:rPr>
        <w:t>-</w:t>
      </w:r>
      <w:r>
        <w:rPr>
          <w:rFonts w:ascii="Times New Roman CYR" w:hAnsi="Times New Roman CYR" w:cs="Times New Roman CYR"/>
          <w:color w:val="000000"/>
          <w:sz w:val="18"/>
          <w:szCs w:val="18"/>
        </w:rPr>
        <w:tab/>
      </w:r>
      <w:r>
        <w:rPr>
          <w:rFonts w:ascii="Times New Roman CYR" w:hAnsi="Times New Roman CYR" w:cs="Times New Roman CYR"/>
          <w:sz w:val="28"/>
          <w:szCs w:val="28"/>
        </w:rPr>
        <w:t>выполнение контроля над соблюдением членами биржи и другими лицами, имеющими право принимать участие в биржевых торгах, правил фондовой биржи;</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18"/>
          <w:szCs w:val="18"/>
        </w:rPr>
        <w:t>-</w:t>
      </w:r>
      <w:r>
        <w:rPr>
          <w:rFonts w:ascii="Times New Roman CYR" w:hAnsi="Times New Roman CYR" w:cs="Times New Roman CYR"/>
          <w:color w:val="000000"/>
          <w:sz w:val="18"/>
          <w:szCs w:val="18"/>
        </w:rPr>
        <w:tab/>
      </w:r>
      <w:r>
        <w:rPr>
          <w:rFonts w:ascii="Times New Roman CYR" w:hAnsi="Times New Roman CYR" w:cs="Times New Roman CYR"/>
          <w:sz w:val="28"/>
          <w:szCs w:val="28"/>
        </w:rPr>
        <w:t>наложение санкций за нарушения правил фондовой биржи.</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Фондовая биржа обязана разработать и утвердить правила проведения финансового мониторинга с учетом требований законодательства Украины в сфере предупреждения и противодействия легализации (отмыванию) доходов, полученных преступным путем.</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Фондовая биржа может устанавливать особые нормы организации и проведения биржевых торгов определенным видом ценных бумаг или других финансовых инструментов. Порядок организации и проведения биржевых торгов на первичном и вторичном рынках устанавливаются отдельно.</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Деятельность в качестве фондовой биржи как организатора торговли ценными бумагами является профессиональной деятельностью на фондовом рынке и требует обязательного лицензирования. Юридические лица, </w:t>
      </w:r>
      <w:r>
        <w:rPr>
          <w:rFonts w:ascii="Times New Roman CYR" w:hAnsi="Times New Roman CYR" w:cs="Times New Roman CYR"/>
          <w:sz w:val="28"/>
          <w:szCs w:val="28"/>
        </w:rPr>
        <w:lastRenderedPageBreak/>
        <w:t>образованные на условиях, определенных нормами о регистрации фондовых бирж, на которых постоянно выполняется торговля ценными бумагами или их производными, могут получить статус фондовой биржи. Основанием для деятельности фондовой биржи является Свидетельство о регистрации фондовой биржи, которое выдается ГКЦБФР.</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Высшим органом управления биржи является общее собрание акционеров. Для нормального функционирования фондовой биржи на ней обычно формируются путем выборов, в которых участвуют члены биржи (акционеры), следующие органы управления:</w:t>
      </w:r>
    </w:p>
    <w:p w:rsidR="00CA7AE8" w:rsidRDefault="00054328">
      <w:pPr>
        <w:widowControl w:val="0"/>
        <w:shd w:val="clear" w:color="000000" w:fill="auto"/>
        <w:tabs>
          <w:tab w:val="left" w:pos="754"/>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18"/>
          <w:szCs w:val="18"/>
        </w:rPr>
        <w:t>1.</w:t>
      </w:r>
      <w:r>
        <w:rPr>
          <w:rFonts w:ascii="Times New Roman CYR" w:hAnsi="Times New Roman CYR" w:cs="Times New Roman CYR"/>
          <w:color w:val="000000"/>
          <w:sz w:val="18"/>
          <w:szCs w:val="18"/>
        </w:rPr>
        <w:tab/>
      </w:r>
      <w:r>
        <w:rPr>
          <w:rFonts w:ascii="Times New Roman CYR" w:hAnsi="Times New Roman CYR" w:cs="Times New Roman CYR"/>
          <w:sz w:val="28"/>
          <w:szCs w:val="28"/>
        </w:rPr>
        <w:t>Биржевой совет, функцией которого является прием членов биржи, допуск на биржу ЦБ, контроль над работой правления и т.д.</w:t>
      </w:r>
    </w:p>
    <w:p w:rsidR="00CA7AE8" w:rsidRDefault="00054328">
      <w:pPr>
        <w:widowControl w:val="0"/>
        <w:shd w:val="clear" w:color="000000" w:fill="auto"/>
        <w:tabs>
          <w:tab w:val="left" w:pos="819"/>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18"/>
          <w:szCs w:val="18"/>
        </w:rPr>
        <w:t>2.</w:t>
      </w:r>
      <w:r>
        <w:rPr>
          <w:rFonts w:ascii="Times New Roman CYR" w:hAnsi="Times New Roman CYR" w:cs="Times New Roman CYR"/>
          <w:color w:val="000000"/>
          <w:sz w:val="18"/>
          <w:szCs w:val="18"/>
        </w:rPr>
        <w:tab/>
      </w:r>
      <w:r>
        <w:rPr>
          <w:rFonts w:ascii="Times New Roman CYR" w:hAnsi="Times New Roman CYR" w:cs="Times New Roman CYR"/>
          <w:sz w:val="28"/>
          <w:szCs w:val="28"/>
        </w:rPr>
        <w:t>Правление биржи - исполнительный орган.</w:t>
      </w:r>
    </w:p>
    <w:p w:rsidR="00CA7AE8" w:rsidRDefault="00054328">
      <w:pPr>
        <w:widowControl w:val="0"/>
        <w:shd w:val="clear" w:color="000000" w:fill="auto"/>
        <w:tabs>
          <w:tab w:val="left" w:pos="759"/>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18"/>
          <w:szCs w:val="18"/>
        </w:rPr>
        <w:t>3.</w:t>
      </w:r>
      <w:r>
        <w:rPr>
          <w:rFonts w:ascii="Times New Roman CYR" w:hAnsi="Times New Roman CYR" w:cs="Times New Roman CYR"/>
          <w:color w:val="000000"/>
          <w:sz w:val="18"/>
          <w:szCs w:val="18"/>
        </w:rPr>
        <w:tab/>
      </w:r>
      <w:r>
        <w:rPr>
          <w:rFonts w:ascii="Times New Roman CYR" w:hAnsi="Times New Roman CYR" w:cs="Times New Roman CYR"/>
          <w:sz w:val="28"/>
          <w:szCs w:val="28"/>
        </w:rPr>
        <w:t>Ревизионная комиссия - контроль финансово-хозяйственной деятельности.</w:t>
      </w:r>
    </w:p>
    <w:p w:rsidR="00CA7AE8" w:rsidRDefault="00054328">
      <w:pPr>
        <w:widowControl w:val="0"/>
        <w:shd w:val="clear" w:color="000000" w:fill="auto"/>
        <w:tabs>
          <w:tab w:val="left" w:pos="754"/>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18"/>
          <w:szCs w:val="18"/>
        </w:rPr>
        <w:t>4.</w:t>
      </w:r>
      <w:r>
        <w:rPr>
          <w:rFonts w:ascii="Times New Roman CYR" w:hAnsi="Times New Roman CYR" w:cs="Times New Roman CYR"/>
          <w:color w:val="000000"/>
          <w:sz w:val="18"/>
          <w:szCs w:val="18"/>
        </w:rPr>
        <w:tab/>
      </w:r>
      <w:r>
        <w:rPr>
          <w:rFonts w:ascii="Times New Roman CYR" w:hAnsi="Times New Roman CYR" w:cs="Times New Roman CYR"/>
          <w:sz w:val="28"/>
          <w:szCs w:val="28"/>
        </w:rPr>
        <w:t>Котировальная комиссия - котировка цен и издание биржевого бюллетеня, руководство специалистами.</w:t>
      </w:r>
    </w:p>
    <w:p w:rsidR="00CA7AE8" w:rsidRDefault="00054328">
      <w:pPr>
        <w:widowControl w:val="0"/>
        <w:shd w:val="clear" w:color="000000" w:fill="auto"/>
        <w:tabs>
          <w:tab w:val="left" w:pos="774"/>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18"/>
          <w:szCs w:val="18"/>
        </w:rPr>
        <w:t>5.</w:t>
      </w:r>
      <w:r>
        <w:rPr>
          <w:rFonts w:ascii="Times New Roman CYR" w:hAnsi="Times New Roman CYR" w:cs="Times New Roman CYR"/>
          <w:color w:val="000000"/>
          <w:sz w:val="18"/>
          <w:szCs w:val="18"/>
        </w:rPr>
        <w:tab/>
      </w:r>
      <w:r>
        <w:rPr>
          <w:rFonts w:ascii="Times New Roman CYR" w:hAnsi="Times New Roman CYR" w:cs="Times New Roman CYR"/>
          <w:sz w:val="28"/>
          <w:szCs w:val="28"/>
        </w:rPr>
        <w:t>Дисциплинарный суд как орган биржевого самоуправления для рассмотрения биржевой этики и соблюдения участниками торгов Правил биржи.</w:t>
      </w:r>
    </w:p>
    <w:p w:rsidR="00CA7AE8" w:rsidRDefault="00054328">
      <w:pPr>
        <w:widowControl w:val="0"/>
        <w:shd w:val="clear" w:color="000000" w:fill="auto"/>
        <w:tabs>
          <w:tab w:val="left" w:pos="779"/>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18"/>
          <w:szCs w:val="18"/>
        </w:rPr>
        <w:t>6.</w:t>
      </w:r>
      <w:r>
        <w:rPr>
          <w:rFonts w:ascii="Times New Roman CYR" w:hAnsi="Times New Roman CYR" w:cs="Times New Roman CYR"/>
          <w:color w:val="000000"/>
          <w:sz w:val="18"/>
          <w:szCs w:val="18"/>
        </w:rPr>
        <w:tab/>
      </w:r>
      <w:r>
        <w:rPr>
          <w:rFonts w:ascii="Times New Roman CYR" w:hAnsi="Times New Roman CYR" w:cs="Times New Roman CYR"/>
          <w:sz w:val="28"/>
          <w:szCs w:val="28"/>
        </w:rPr>
        <w:t>Специалисты биржи, которые обеспечивают торговые операции между торговцами и могут по договору представлять интересы клиентов.</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Биржевая торговля - это организованное заключение гражданско- правовых соглашений, которые ведут к изменению права собственности на ценные бумаги. Причем при этом требуется обязательное наличие у организатора биржевой торговли торгового зала и правил торговли для лиц, имеющих исключительное право на заключение соглашений за свой счет и для других лиц.</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Участники биржевой торговли должны иметь в собственности или </w:t>
      </w:r>
      <w:r>
        <w:rPr>
          <w:rFonts w:ascii="Times New Roman CYR" w:hAnsi="Times New Roman CYR" w:cs="Times New Roman CYR"/>
          <w:sz w:val="28"/>
          <w:szCs w:val="28"/>
        </w:rPr>
        <w:lastRenderedPageBreak/>
        <w:t>арендовать на определенный срок биржевое брокерское место, владение которым подтверждается правом собственности на одну или несколько акций биржи в соответствии с уставом и правилами биржи. По украинским нормам членом фондовой биржи считается юридическое лицо, имеющее лицензию на осуществление деятельности по выпуску и обращению ценных бумаг и получившее этот статус в порядке, определенном биржей. К участию в торгах от имени члена биржи могут быть допущены только трейдеры, получившие в Комиссии сертификат специалиста по торговле ценными бумагами. Эта деятельность с ЦБ для таких торговцев является исключительной, т.е. единственно возможной, она ограничена рамками законодательства. Услугами членов биржи могут воспользоваться любые физические или юридические лица, которые таким образом могут неограниченно покупать и продавать любые котирующиеся на бирже ЦБ.</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украинским нормам биржи, на которых осуществляется организованная торговля срочными контрактами, отнесенными к производным ценным бумагам, обязаны согласовать с Комиссией правила такой торговли в соответствии с действующими нормами.</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Государственный контроль над биржами и биржевой деятельностью в соответствии с мировой практикой осуществляют государственные представители. В соответствии с решением ГКЦБФР в Украине также введена система контроля над деятельностью бирж и торгово-информационных систем. При этом установлено, что контроль во время проведения торгов на организаторах торговли на рынке ценных бумаг (под организаторами торговли имеются в виду фондовые биржи и ТИС) - это совокупность организационно-технических и правовых мероприятий, направленных на обеспечение соблюдения действующего законодательства Украины, </w:t>
      </w:r>
      <w:r>
        <w:rPr>
          <w:rFonts w:ascii="Times New Roman CYR" w:hAnsi="Times New Roman CYR" w:cs="Times New Roman CYR"/>
          <w:sz w:val="28"/>
          <w:szCs w:val="28"/>
        </w:rPr>
        <w:lastRenderedPageBreak/>
        <w:t>нормативных актов ГКЦБФР, норм и правил проведения торговли.</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Определены следующие основные требования к претендентам на звание фондовой биржи:</w:t>
      </w:r>
    </w:p>
    <w:p w:rsidR="00CA7AE8" w:rsidRDefault="00054328">
      <w:pPr>
        <w:widowControl w:val="0"/>
        <w:shd w:val="clear" w:color="000000" w:fill="auto"/>
        <w:tabs>
          <w:tab w:val="left" w:pos="759"/>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18"/>
          <w:szCs w:val="18"/>
        </w:rPr>
        <w:t>1.</w:t>
      </w:r>
      <w:r>
        <w:rPr>
          <w:rFonts w:ascii="Times New Roman CYR" w:hAnsi="Times New Roman CYR" w:cs="Times New Roman CYR"/>
          <w:color w:val="000000"/>
          <w:sz w:val="18"/>
          <w:szCs w:val="18"/>
        </w:rPr>
        <w:tab/>
      </w:r>
      <w:r>
        <w:rPr>
          <w:rFonts w:ascii="Times New Roman CYR" w:hAnsi="Times New Roman CYR" w:cs="Times New Roman CYR"/>
          <w:sz w:val="28"/>
          <w:szCs w:val="28"/>
        </w:rPr>
        <w:t>Учреждаются не менее чем 20 торговцами.</w:t>
      </w:r>
    </w:p>
    <w:p w:rsidR="00CA7AE8" w:rsidRDefault="00054328">
      <w:pPr>
        <w:widowControl w:val="0"/>
        <w:shd w:val="clear" w:color="000000" w:fill="auto"/>
        <w:tabs>
          <w:tab w:val="left" w:pos="764"/>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18"/>
          <w:szCs w:val="18"/>
        </w:rPr>
        <w:t>2.</w:t>
      </w:r>
      <w:r>
        <w:rPr>
          <w:rFonts w:ascii="Times New Roman CYR" w:hAnsi="Times New Roman CYR" w:cs="Times New Roman CYR"/>
          <w:color w:val="000000"/>
          <w:sz w:val="18"/>
          <w:szCs w:val="18"/>
        </w:rPr>
        <w:tab/>
      </w:r>
      <w:r>
        <w:rPr>
          <w:rFonts w:ascii="Times New Roman CYR" w:hAnsi="Times New Roman CYR" w:cs="Times New Roman CYR"/>
          <w:sz w:val="28"/>
          <w:szCs w:val="28"/>
        </w:rPr>
        <w:t>Сделки должны заключаться только между учредителями и членами биржи или членами электронной торгово-информационной сети.</w:t>
      </w:r>
    </w:p>
    <w:p w:rsidR="00CA7AE8" w:rsidRDefault="00054328">
      <w:pPr>
        <w:widowControl w:val="0"/>
        <w:shd w:val="clear" w:color="000000" w:fill="auto"/>
        <w:tabs>
          <w:tab w:val="left" w:pos="759"/>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18"/>
          <w:szCs w:val="18"/>
        </w:rPr>
        <w:t>3.</w:t>
      </w:r>
      <w:r>
        <w:rPr>
          <w:rFonts w:ascii="Times New Roman CYR" w:hAnsi="Times New Roman CYR" w:cs="Times New Roman CYR"/>
          <w:color w:val="000000"/>
          <w:sz w:val="18"/>
          <w:szCs w:val="18"/>
        </w:rPr>
        <w:tab/>
      </w:r>
      <w:r>
        <w:rPr>
          <w:rFonts w:ascii="Times New Roman CYR" w:hAnsi="Times New Roman CYR" w:cs="Times New Roman CYR"/>
          <w:sz w:val="28"/>
          <w:szCs w:val="28"/>
        </w:rPr>
        <w:t>Должны существовать процедуры отбора ЦБ.</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18"/>
          <w:szCs w:val="18"/>
        </w:rPr>
        <w:t>4.</w:t>
      </w:r>
      <w:r>
        <w:rPr>
          <w:rFonts w:ascii="Times New Roman CYR" w:hAnsi="Times New Roman CYR" w:cs="Times New Roman CYR"/>
          <w:color w:val="000000"/>
          <w:sz w:val="18"/>
          <w:szCs w:val="18"/>
        </w:rPr>
        <w:tab/>
      </w:r>
      <w:r>
        <w:rPr>
          <w:rFonts w:ascii="Times New Roman CYR" w:hAnsi="Times New Roman CYR" w:cs="Times New Roman CYR"/>
          <w:sz w:val="28"/>
          <w:szCs w:val="28"/>
        </w:rPr>
        <w:t>Должны существовать процедуры отбора брокеров/дилеров.</w:t>
      </w:r>
    </w:p>
    <w:p w:rsidR="00CA7AE8" w:rsidRDefault="00054328">
      <w:pPr>
        <w:widowControl w:val="0"/>
        <w:shd w:val="clear" w:color="000000" w:fill="auto"/>
        <w:tabs>
          <w:tab w:val="left" w:pos="7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18"/>
          <w:szCs w:val="18"/>
        </w:rPr>
        <w:t>5.</w:t>
      </w:r>
      <w:r>
        <w:rPr>
          <w:rFonts w:ascii="Times New Roman CYR" w:hAnsi="Times New Roman CYR" w:cs="Times New Roman CYR"/>
          <w:color w:val="000000"/>
          <w:sz w:val="18"/>
          <w:szCs w:val="18"/>
        </w:rPr>
        <w:tab/>
      </w:r>
      <w:r>
        <w:rPr>
          <w:rFonts w:ascii="Times New Roman CYR" w:hAnsi="Times New Roman CYR" w:cs="Times New Roman CYR"/>
          <w:sz w:val="28"/>
          <w:szCs w:val="28"/>
        </w:rPr>
        <w:t>Должны быть утверждены правила торговли и стандартных биржевых процедур.</w:t>
      </w:r>
    </w:p>
    <w:p w:rsidR="00CA7AE8" w:rsidRDefault="00054328">
      <w:pPr>
        <w:widowControl w:val="0"/>
        <w:shd w:val="clear" w:color="000000" w:fill="auto"/>
        <w:tabs>
          <w:tab w:val="left" w:pos="75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18"/>
          <w:szCs w:val="18"/>
        </w:rPr>
        <w:t>6.</w:t>
      </w:r>
      <w:r>
        <w:rPr>
          <w:rFonts w:ascii="Times New Roman CYR" w:hAnsi="Times New Roman CYR" w:cs="Times New Roman CYR"/>
          <w:color w:val="000000"/>
          <w:sz w:val="18"/>
          <w:szCs w:val="18"/>
        </w:rPr>
        <w:tab/>
      </w:r>
      <w:r>
        <w:rPr>
          <w:rFonts w:ascii="Times New Roman CYR" w:hAnsi="Times New Roman CYR" w:cs="Times New Roman CYR"/>
          <w:sz w:val="28"/>
          <w:szCs w:val="28"/>
        </w:rPr>
        <w:t>Должны существовать системы надзора за деятельностью членов биржи (брокеров/дилеров) и выполнение ими норм этики.</w:t>
      </w:r>
    </w:p>
    <w:p w:rsidR="00CA7AE8" w:rsidRDefault="00054328">
      <w:pPr>
        <w:widowControl w:val="0"/>
        <w:shd w:val="clear" w:color="000000" w:fill="auto"/>
        <w:tabs>
          <w:tab w:val="left" w:pos="754"/>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18"/>
          <w:szCs w:val="18"/>
        </w:rPr>
        <w:t>7.</w:t>
      </w:r>
      <w:r>
        <w:rPr>
          <w:rFonts w:ascii="Times New Roman CYR" w:hAnsi="Times New Roman CYR" w:cs="Times New Roman CYR"/>
          <w:color w:val="000000"/>
          <w:sz w:val="18"/>
          <w:szCs w:val="18"/>
        </w:rPr>
        <w:tab/>
      </w:r>
      <w:r>
        <w:rPr>
          <w:rFonts w:ascii="Times New Roman CYR" w:hAnsi="Times New Roman CYR" w:cs="Times New Roman CYR"/>
          <w:sz w:val="28"/>
          <w:szCs w:val="28"/>
        </w:rPr>
        <w:t>Руководители и ведущие специалисты фондовой биржи должны иметь квалификацию соответствующего профиля.</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состоянию на 1 января 2006 года в Украине действовало восемь организаторов торговли и в том числе шесть фондовых бирж - Донецкая фондовая биржа, Киевская международная фондовая биржа, Приднепровская фондовая биржа, Украинская межбанковская валютная биржа, Украинская фондовая биржа и Крымская фондовая биржа. Также функционировали две торгово-информационные системы - Первая фондовая торговая система (ПФТС) и Южно-украинская торговая система.</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Обычно на фондовых биржах, кроме основного рынка с акциями, прошедшими листинг, имеется рынок второго уровня для акций, которые пока не удовлетворяют в необходимом объеме требованиям листинга и к ним предъявляются менее жесткие требования по условиям листинга. Такой рынок есть на Лондонской фондовой бирже, он называется Альтернативным </w:t>
      </w:r>
      <w:r>
        <w:rPr>
          <w:rFonts w:ascii="Times New Roman CYR" w:hAnsi="Times New Roman CYR" w:cs="Times New Roman CYR"/>
          <w:sz w:val="28"/>
          <w:szCs w:val="28"/>
        </w:rPr>
        <w:lastRenderedPageBreak/>
        <w:t>инвестиционным рынком (</w:t>
      </w:r>
      <w:r>
        <w:rPr>
          <w:rFonts w:ascii="Times New Roman CYR" w:hAnsi="Times New Roman CYR" w:cs="Times New Roman CYR"/>
          <w:sz w:val="28"/>
          <w:szCs w:val="28"/>
          <w:lang w:val="en-US"/>
        </w:rPr>
        <w:t>The</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Alternative</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Investment</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Market</w:t>
      </w:r>
      <w:r>
        <w:rPr>
          <w:rFonts w:ascii="Times New Roman CYR" w:hAnsi="Times New Roman CYR" w:cs="Times New Roman CYR"/>
          <w:sz w:val="28"/>
          <w:szCs w:val="28"/>
        </w:rPr>
        <w:t>). Для перехода в основной список компания должна подать бирже соответствующую заявку и документы.</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фондовых биржах обычно имеется важная группа участников торгов, которых называют специалистами. Это назначенные биржей торговцы, чаще всего действующие одновременно в качестве брокеров, выполняющих заказы клиентов, и самостоятельных торговцев. Но при этом они обычно специализируются на ценных бумагах одного или нескольких крупных эмитентов. У всех специалистов есть свои постоянные «посты» (стойки) в биржевом операционном зале, где они проводят операции по прикрепленным к ним ценным бумагам и где их всегда могут найти другие члены биржи. В результате важной функцией специалистов является поддержание активности торговли по данным ценным бумагам, противодействие по возможности резким колебаниям цен путем покупки при снижении цен (при недостаточном спросе) и продажи при повышении цен (при недостаточном предложении).</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Специалист обычно ведет специальный учет тех приказов, которые не могут быть выполнены немедленно из-за расхождения цен на рынке и в приказе. Также специалист может выполнить эти приказы за счет собственных средств (осуществить покупку) или за счет своего портфеля ценных бумаг (осуществить продажу).</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соответствии с мировой биржевой практикой на многих биржах имеется еще важная группа торговцев ценными бумагами - маркет - мейкеры, торговцы ценными бумагами, которые активно поддерживают рынок определенных ценных бумаг и постоянно выставляют на них твердую котировку.</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Также на некоторых биржах работают маклеры. Маклер - член биржи (часто даже ее сотрудник), выполняющий поддержание рынка ЦБ, </w:t>
      </w:r>
      <w:r>
        <w:rPr>
          <w:rFonts w:ascii="Times New Roman CYR" w:hAnsi="Times New Roman CYR" w:cs="Times New Roman CYR"/>
          <w:sz w:val="28"/>
          <w:szCs w:val="28"/>
        </w:rPr>
        <w:lastRenderedPageBreak/>
        <w:t>зарегистрированных на данного маклера. При временной диспропорции между спросом и предложением маклеры продают и покупают ЦБ за свой счет в ограниченных пределах. Также на многих биржах они выполняют за комиссионную оплату заявки других брокеров. Функции маклера часто идентичны функциям специалиста. Украинским законодательством и биржевой практикой не предусмотрено наличие маклеров как отдельной группы торговцев.</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фондовых биржах, как правило, функционируют электронные торговые системы. Электронная торговая система - совокупность организационных, технологических и технических средств, которые используются фондовой биржей для обеспечения заключения биржевых соглашений и выполнения биржевых контрактов по ценным бумагам и другим финансовым инструментам.</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Электронная торговая система должна обеспечивать:</w:t>
      </w:r>
    </w:p>
    <w:p w:rsidR="00CA7AE8" w:rsidRDefault="00054328">
      <w:pPr>
        <w:widowControl w:val="0"/>
        <w:shd w:val="clear" w:color="000000" w:fill="auto"/>
        <w:tabs>
          <w:tab w:val="left" w:pos="514"/>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18"/>
          <w:szCs w:val="18"/>
        </w:rPr>
        <w:t>-</w:t>
      </w:r>
      <w:r>
        <w:rPr>
          <w:rFonts w:ascii="Times New Roman CYR" w:hAnsi="Times New Roman CYR" w:cs="Times New Roman CYR"/>
          <w:color w:val="000000"/>
          <w:sz w:val="18"/>
          <w:szCs w:val="18"/>
        </w:rPr>
        <w:tab/>
      </w:r>
      <w:r>
        <w:rPr>
          <w:rFonts w:ascii="Times New Roman CYR" w:hAnsi="Times New Roman CYR" w:cs="Times New Roman CYR"/>
          <w:sz w:val="28"/>
          <w:szCs w:val="28"/>
        </w:rPr>
        <w:t>прием, обработку и передачу от участников биржевых торгов заявок на куплю-продажу допущенных к торговле ценных бумаг, фиксацию заключенных биржевых соглашений;</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18"/>
          <w:szCs w:val="18"/>
        </w:rPr>
        <w:t>-</w:t>
      </w:r>
      <w:r>
        <w:rPr>
          <w:rFonts w:ascii="Times New Roman CYR" w:hAnsi="Times New Roman CYR" w:cs="Times New Roman CYR"/>
          <w:color w:val="000000"/>
          <w:sz w:val="18"/>
          <w:szCs w:val="18"/>
        </w:rPr>
        <w:tab/>
      </w:r>
      <w:r>
        <w:rPr>
          <w:rFonts w:ascii="Times New Roman CYR" w:hAnsi="Times New Roman CYR" w:cs="Times New Roman CYR"/>
          <w:sz w:val="28"/>
          <w:szCs w:val="28"/>
        </w:rPr>
        <w:t>подготовку и передачу информации, необходимой для исполнения заключенных биржевых контрактов;</w:t>
      </w:r>
    </w:p>
    <w:p w:rsidR="00CA7AE8" w:rsidRDefault="00054328">
      <w:pPr>
        <w:widowControl w:val="0"/>
        <w:shd w:val="clear" w:color="000000" w:fill="auto"/>
        <w:tabs>
          <w:tab w:val="left" w:pos="53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18"/>
          <w:szCs w:val="18"/>
        </w:rPr>
        <w:t>-</w:t>
      </w:r>
      <w:r>
        <w:rPr>
          <w:rFonts w:ascii="Times New Roman CYR" w:hAnsi="Times New Roman CYR" w:cs="Times New Roman CYR"/>
          <w:color w:val="000000"/>
          <w:sz w:val="18"/>
          <w:szCs w:val="18"/>
        </w:rPr>
        <w:tab/>
      </w:r>
      <w:r>
        <w:rPr>
          <w:rFonts w:ascii="Times New Roman CYR" w:hAnsi="Times New Roman CYR" w:cs="Times New Roman CYR"/>
          <w:sz w:val="28"/>
          <w:szCs w:val="28"/>
        </w:rPr>
        <w:t>защиту информации (в том числе на электронных носителях), которая относится к заключению биржевых соглашений и выполнению биржевых контрактов, от потери или несанкционированного доступа;</w:t>
      </w:r>
    </w:p>
    <w:p w:rsidR="00CA7AE8" w:rsidRDefault="00054328">
      <w:pPr>
        <w:widowControl w:val="0"/>
        <w:shd w:val="clear" w:color="000000" w:fill="auto"/>
        <w:tabs>
          <w:tab w:val="left" w:pos="543"/>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18"/>
          <w:szCs w:val="18"/>
        </w:rPr>
        <w:t>-</w:t>
      </w:r>
      <w:r>
        <w:rPr>
          <w:rFonts w:ascii="Times New Roman CYR" w:hAnsi="Times New Roman CYR" w:cs="Times New Roman CYR"/>
          <w:color w:val="000000"/>
          <w:sz w:val="18"/>
          <w:szCs w:val="18"/>
        </w:rPr>
        <w:tab/>
      </w:r>
      <w:r>
        <w:rPr>
          <w:rFonts w:ascii="Times New Roman CYR" w:hAnsi="Times New Roman CYR" w:cs="Times New Roman CYR"/>
          <w:sz w:val="28"/>
          <w:szCs w:val="28"/>
        </w:rPr>
        <w:t>формирование и поддержку баз данных о ходе и результатах биржевых торгов с фиксацией времени объявления участниками биржевых торгов заявок и времени заключения биржевых соглашений.</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Внедрение компьютеров в биржевую практику позволило существенно изменить процедуры сделок. На Нью-йоркской фондовой бирже действует электронная система передачи приказов специалистам СуперДОТ. Эта система </w:t>
      </w:r>
      <w:r>
        <w:rPr>
          <w:rFonts w:ascii="Times New Roman CYR" w:hAnsi="Times New Roman CYR" w:cs="Times New Roman CYR"/>
          <w:sz w:val="28"/>
          <w:szCs w:val="28"/>
        </w:rPr>
        <w:lastRenderedPageBreak/>
        <w:t>до начала торгов обеспечивает непрерывное сопоставление приказов на покупку и продажу и выдачу предварительного баланса специалисту, который в результате сопоставления спроса и предложения определяет цену открытия. Ныне открытые биржевые торги, требующие физического присутствия их участников, заменяются компьютерной торговлей, которая дает возможность принимать участие в торговле из своего офиса, но обязательным остается соблюдение установленных правил и систем регулирования торговли организатором торговли и государством.</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Специфическим примером специально организованного рынка для торговли акциями компаний высоких технологий и проведения </w:t>
      </w:r>
      <w:r>
        <w:rPr>
          <w:rFonts w:ascii="Times New Roman CYR" w:hAnsi="Times New Roman CYR" w:cs="Times New Roman CYR"/>
          <w:sz w:val="28"/>
          <w:szCs w:val="28"/>
          <w:lang w:val="en-US"/>
        </w:rPr>
        <w:t>I</w:t>
      </w:r>
      <w:r>
        <w:rPr>
          <w:rFonts w:ascii="Times New Roman CYR" w:hAnsi="Times New Roman CYR" w:cs="Times New Roman CYR"/>
          <w:sz w:val="28"/>
          <w:szCs w:val="28"/>
        </w:rPr>
        <w:t>РО является рынок techMARK на Лондонской фондовой бирже. Этот рынок ориентирован, прежде всего, на новые компании из Великобритании и США, которые не имеют длительных историй и часто не могут успешно привлекать средства на обычных биржах. [3, с.500-506]</w:t>
      </w:r>
    </w:p>
    <w:p w:rsidR="00CA7AE8" w:rsidRDefault="00CA7AE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CA7AE8" w:rsidRDefault="0005432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1.2</w:t>
      </w:r>
      <w:r>
        <w:rPr>
          <w:rFonts w:ascii="Times New Roman CYR" w:hAnsi="Times New Roman CYR" w:cs="Times New Roman CYR"/>
          <w:noProof/>
          <w:sz w:val="28"/>
          <w:szCs w:val="28"/>
        </w:rPr>
        <w:tab/>
        <w:t>Исторические аспекты функционирования фондовых бирж</w:t>
      </w:r>
    </w:p>
    <w:p w:rsidR="00CA7AE8" w:rsidRDefault="00CA7AE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Появление ценных бумаг и совершение с ними различных финансовых операций имеет многовековую историю. Прообразом фондовых операций является процесс обмена валюты на другую между торговцами на ярмарках. Вследствие роста торговли и увеличения числа заключаемых срочных сделок объектом финансовых операций постепенно стали долгосрочные расписки - векселя. Вексель - первая классическая ценная бумага, которая положила начало возникновению и развитию фондового рынка.</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Сначала сделки с ценными бумагами совершались на товарных биржах и других оптовых рынках, но с течением времени возникла необходимость </w:t>
      </w:r>
      <w:r>
        <w:rPr>
          <w:rFonts w:ascii="Times New Roman CYR" w:hAnsi="Times New Roman CYR" w:cs="Times New Roman CYR"/>
          <w:sz w:val="28"/>
          <w:szCs w:val="28"/>
        </w:rPr>
        <w:lastRenderedPageBreak/>
        <w:t>улучшения такого рода операций - сформировался рынок фондовых ценностей.</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Начало эпохи великих географических открытий послужило толчком для формирования организованной торговли ценными бумагами и появления их классических типов. Организация морских экспедиций и крупных торговых караванов в страны Нового Света требовало значительных капиталовложений. Это обусловило объединение купцов, судовладельцев, банкиров, промышленников в общества для создания общего капитала. Внесение пая оформлялось специальным документом, который подтверждал право собственности на свою долю в общем капитале и право на получение части прибыли в случае удачного совместного предприятия. Этот документ получил название "акция", а общество стало называться акционерным или компанией. Известны первые в мире акционерные общества - Голландская и Английская Ост-Индская компании.</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Начали появляться и правительственные ценные бумаги - казначейские векселя и облигации, которые стали объектом купли-продажи на фондовых биржах. Впервые торги ценными бумагами правительств Голландии, Германии, Франции, Англии, Бельгии, Испании прошли в Антверпене в XVI веке.</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Первые формы торговых и валютных бирж появились уже в XVI в.: В Италии (Венеции, Генуе, Флоренции), а также крупных торговых городах других стран Западной Европы - в Антверпене (1531), Лионе (1545), Гамбурге (1558) , Лондоне (1566), Амстердаме (1608), Бремене (1613).</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Первая фондовая биржа была создана в Амстердаме в XVII в. До этого операции с ценными бумагами совершались на товарных биржах. Главные позиции на биржевых торгах занимали акции и облигации частных компаний.</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Амстердамская фондовая биржа играла в XVII в. наибольшую роль. Здесь осуществлялись котировки почти всех типов ценных бумаг различных </w:t>
      </w:r>
      <w:r>
        <w:rPr>
          <w:rFonts w:ascii="Times New Roman CYR" w:hAnsi="Times New Roman CYR" w:cs="Times New Roman CYR"/>
          <w:sz w:val="28"/>
          <w:szCs w:val="28"/>
        </w:rPr>
        <w:lastRenderedPageBreak/>
        <w:t>эмитентов.</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Активизация рынка фондовых ценностей и бурный рост биржевой торговли приходится на XVIII в. Во второй половине XVIII в. на первое место в Европе выходит Лондонская фондовая биржа (1773). В США началом функционирования фондовой биржи считается 1792 год. Между фондовыми биржами разных стран формировались тесные взаимосвязи. Однако национальные финансовые рынки и фондовые биржи различных государств приобретали характерные для них индивидуальные черты и особенности, что обусловлено исключительностью экономики каждой отдельной страны.</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конце XVIII - начале XIX вв. роль фондовой биржи растет. Идет процесс первоначального накопления капитала. В странах Европы и Америки появляются первые акционерные банки и промышленные корпорации, хотя тогда операции с ценными бумагами не осуществляли существенного влияния на экономические процессы. Фондовые биржи не сразу, а постепенно входили в систему финансово-экономических отношений, становились важным элементом всего хозяйственного механизма государства. Стихия рынка свободной конкуренции обеспечивала почти неограниченное переливание больших денежных средств из отрасли в отрасль, минуя государственное распределение, через фондовую биржу и сферу кредитования. Такой интенсивный рост общественного производства, который существенно превышал спрос, привел к значительному подъему жизненного уровня, а также к изменению роли финансового капитала в системе экономических отношений. Данный период характеризуется как период неорганизованного "дикого" рынка. Тогда почти отсутствовало законодательство, которое бы определяло те или иные хозяйственные операции, не были сформированы органы регулирования, большинство сделок не регистрировались.</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На рубеже ХХ века мировой рынок финансовых активов начинает заметно меняться. С возникновением монополий, крупных объединений предприятий и увеличением эмиссии ценных бумаг росли как биржевые, так и внебиржевые обороты финансовых активов. Наибольшую роль при этом играли коммерческие банки, которые осуществляли первичное размещение акций корпораций. Фондовый рынок становился все более регулируемым. Особенно широкое развитие получил рынок ценных бумаг в США. Он заметно обогнал в своем развитии европейский, на нем сложился более современный механизм осуществления финансовых операций, и в настоящее время по праву считается наиболее организованным и демократичным рынком ценных бумаг.</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фондовый рынок не может развиваться без кризисов и потрясений. Особенно страшным и грандиозным по своим последствиям был биржевой кризис 1929 года, когда падение курса на Нью-Йоркской фондовой бирже привело к мировому экономическому кризису.</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После кризиса 1929 - 1933 годов правительства большинства стран, переживших кризис, взяли курс на проведение экономических реформ. В связи с этим резко возросла роль государства в экономике. В США в 1933 г. был принят закон о ценных бумагах, и постепенно фондовый рынок приобрел свой современный вид.</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фондовый рынок существенное влияние осуществляли войны, политическая нестабильность, экономические депрессии. В эти периоды эмиссия ценных бумаг сокращалась, количество сделок падало. Однако любое оживление экономики сразу проявлялось в объеме фондовых операций, и соответственно, рынок ценных бумаг всегда служил и служит индикатором финансово-экономического здоровья государства.</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60-е годы ХХ ст. на фондовом рынке заметным становится новый </w:t>
      </w:r>
      <w:r>
        <w:rPr>
          <w:rFonts w:ascii="Times New Roman CYR" w:hAnsi="Times New Roman CYR" w:cs="Times New Roman CYR"/>
          <w:sz w:val="28"/>
          <w:szCs w:val="28"/>
        </w:rPr>
        <w:lastRenderedPageBreak/>
        <w:t>всплеск биржевой активности. Европа оправилась от последствий Второй мировой войны, стабилизировалась промышленность, появились новые наукоемкие производства. Механизм фондовой биржи способствовал перераспределению денежных средств в пользу отраслей, обеспечивающих наибольшую норму прибыли. С помощью фондовой биржи огромные средства, собранные банками и другими расчетно-кредитными учреждениями, направлялись на финансирование наиболее эффективных экономических программ, изобретений и внедрение новых технологий. В этот период происходит также бурный рост международных операций с ценными бумагами.</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концу 70-х годов, финансовые рынки стран с развитой рыночной экономикой уже представляли собой сложное образование с усовершенствованным механизмом, с разветвленной сетью вспомогательных структур, а также тесными международными связями. Огромную роль на мировой арене стали играть транснациональные промышленные и банковские корпорации, которые аккумулировали значительные денежные средства и проводили политику экспорта капитала.</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 последние двадцать лет международная торговля ценными бумагами возросла в десятки раз по сравнению с послевоенным периодом. В обращении появились евроакции и еврооблигации, которые стали главным объектом сделок на мировом финансовом рынке. Национальные рынки финансовых активов функционируют в тесной взаимосвязи друг с другом. Эмиссия ценных бумаг достигла таких размеров, что в результате международный фондовый рынок стал важным элементом мировой экономики.</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Колебания курсов акций и других финансовых активов на биржах одних стран обязательно отражаются через биржевой механизм на рыночной конъюнктуре других.[3, </w:t>
      </w:r>
      <w:r>
        <w:rPr>
          <w:rFonts w:ascii="Times New Roman CYR" w:hAnsi="Times New Roman CYR" w:cs="Times New Roman CYR"/>
          <w:sz w:val="28"/>
          <w:szCs w:val="28"/>
          <w:lang w:val="en-US"/>
        </w:rPr>
        <w:t>c</w:t>
      </w:r>
      <w:r>
        <w:rPr>
          <w:rFonts w:ascii="Times New Roman CYR" w:hAnsi="Times New Roman CYR" w:cs="Times New Roman CYR"/>
          <w:sz w:val="28"/>
          <w:szCs w:val="28"/>
        </w:rPr>
        <w:t>. 57 - 59]</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При возникновении фондовых бирж Украина входила в Российскую империю, поэтому развитие биржевой торговли ценными бумагами в России до распада СССР, несомненно, связано с ее развитием на территории Украины.</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Российской империи развитие фондового рынка проходило те же этапы, что и в других странах, но с учетом местных особенностей.</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Операции с ценными бумагами организовано стали осуществляться еще в период правления Петра I. Сначала сделки заключались на собраниях купцов, а в 1703 лет была открыта первая в Российской империи фондовая биржа. На ней сначала обращались иностранные ценные бумаги, в основном векселя, но позже появились акции и облигации как иностранных, так и отечественных эмитентов. Вслед за Санкт-Петербургской появились биржи в Одессе, Москве и других городах. Развитие капитализма в России, отмена крепостного права в 1861 году привели к появлению качественно новых товарно-денежных отношений, а также к расширению внутреннего рынка на базе капиталистических отношений. Были созданы соответствующие организационные механизмы функционирования рынка ценных бумаг. При этом заимствовался зарубежный опыт, поскольку в экономике дореволюционной России иностранный капитал занимал довольно заметное место.</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концу XIX в. в Российской империи не было ни одной фондовой биржи. Операции с ценными бумагами (в основном - акциями) осуществлялись на товарных биржах в соответствии с правилами биржевой торговли. На территории России существовала 21 товарная биржа, а фондовые операции осуществлялись на семи: Санкт-Петербургской, Московской, Варшавской, Киевской, Харьковской, Одесской и Рижской. Продажа и реализация государственных облигаций проводились через Государственный банк, но при активном посредничестве коммерческих банков и других кредитных институтов.</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Уровень развития рынка ценных бумаг в Российской империи по своим масштабам и глубине операций значительно отставал от уровня развития фондовых рынков западных стран, прежде всего от Германии, Франции, Англии, США. Кроме того, на российском рынке ценных бумаг было мало выпусков облигаций предприятий и компаний. Своего апогея фондовый рынок России достиг в 1914 году. После революции, гражданской войны и проведения всеобщей национализации средств производства рынок ценных бумаг как таковой перестал существовать.</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период НЭПа началось некоторое оживление рынка за счет выпуска государственных облигаций и незначительного количества акций. Экономика приобретает рыночный характер, начинает функционировать относительно разветвленная кредитная система, используется иностранный капитал. Однако рынок ценных бумаг в период НЭПа носил весьма ограниченный характер.</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Период так называемой индустриализации и коллективизации привел к ликвидации коммерческого кредита, реформированию многих кредитных институтов, к централизации банковских ресурсов в руках Госбанка и отраслевых банков, а также к ограниченному механизму рынка ценных бумаг в виде выпуска государственных займов. Причем вращение государственных ссуд носило добровольно-принудительный характер и таким образом они размещались в основном среди населения. До Великой Отечественной войны, а также в первые послевоенные годы и до конца 50-х это были выигрышные займы с последующим периодическим погашением облигаций. Главная их цель состояла в дополнительной мобилизации денежных средств населения в народное хозяйство СССР для восстановления его после войны и в дальнейшем для реализации различных крупных промышленно-инвестиционных проектов.</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Однако в конце 50-х годов стало очевидным, что государству достаточно </w:t>
      </w:r>
      <w:r>
        <w:rPr>
          <w:rFonts w:ascii="Times New Roman CYR" w:hAnsi="Times New Roman CYR" w:cs="Times New Roman CYR"/>
          <w:sz w:val="28"/>
          <w:szCs w:val="28"/>
        </w:rPr>
        <w:lastRenderedPageBreak/>
        <w:t>трудно одновременно выпускать займы и оплачивать их населению. Поэтому выпуск таких ссуд был остановлен, а выплаты по ним заморожены на довольно долгий период. Единственным видом ценных бумаг остался Государственная 3-х процентная выигрышная ссуда, которая покупалась и продавалась через систему сберегательных касс. Таким образом, произошло еще большее сужение рынка. Ликвидация производного рынка ценных бумаг в советский период была обусловлена развитием командно-административной системы управления, которая заменила рыночные отношения.</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1990 года в Украине начался этап возрождения рынка ценных бумаг и фондовой биржи. По сути, рынок финансовых активов формировался в условиях экономической и политической нестабильности. Тем не менее, в последние годы становится заметной тенденция его успешного формирования и дальнейшего развития.</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Украине в 1991 году был сделан первый шаг на пути становления важнейшего звена фондовой системы - фондовой биржи. 1991 год стал годом создания Украинской фондовой биржи, родоначальником которой считается Киевская биржа, образованная в 1865 году.</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того, в 1991 году были сделаны определенные шаги к расширению рынка ценных бумаг Украины. Прежде всего, это появление фондовых бирж и фондовых отделов товарных бирж. В этом же году был принят Закон Украины "О ценных бумагах и фондовой бирже", в котором определялись виды ценных бумаг, разрешенных для выпуска и обращения на территории Украины, давались их характеристики, определялся порядок осуществления операций с ценными бумагами и регистрации их выпуска, а также давалось понятие фондовой биржи, определены ее правовое положение, установки и правила.</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Одной из особенностей развития рынка ценных бумаг в Украине стал </w:t>
      </w:r>
      <w:r>
        <w:rPr>
          <w:rFonts w:ascii="Times New Roman CYR" w:hAnsi="Times New Roman CYR" w:cs="Times New Roman CYR"/>
          <w:sz w:val="28"/>
          <w:szCs w:val="28"/>
        </w:rPr>
        <w:lastRenderedPageBreak/>
        <w:t>массовый выпуск нового вида бумаг - приватизационного имущественного сертификата (ПМС). Он свидетельствовал о праве его владельца на безусловное содержание в процессе приватизации доли имущества государственных предприятий.</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Позже в обращение была выпущена новая бумага - компенсационный сертификат (КС), который предоставлял право его владельцу на компенсацию определенной суммы сберегательных вкладов.</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ознаменовал собой принятие и введение в действие Закона Украины "О государственном регулировании рынка ценных бумаг в Украине". Этот закон определяет правовые основы осуществления государственного регулирования фондового рынка и государственного контроля за выпуском и обращением ценных бумаг и их производных в Украине.[5, </w:t>
      </w:r>
      <w:r>
        <w:rPr>
          <w:rFonts w:ascii="Times New Roman CYR" w:hAnsi="Times New Roman CYR" w:cs="Times New Roman CYR"/>
          <w:sz w:val="28"/>
          <w:szCs w:val="28"/>
          <w:lang w:val="en-US"/>
        </w:rPr>
        <w:t>c</w:t>
      </w:r>
      <w:r>
        <w:rPr>
          <w:rFonts w:ascii="Times New Roman CYR" w:hAnsi="Times New Roman CYR" w:cs="Times New Roman CYR"/>
          <w:sz w:val="28"/>
          <w:szCs w:val="28"/>
        </w:rPr>
        <w:t>.</w:t>
      </w:r>
      <w:r>
        <w:rPr>
          <w:rFonts w:ascii="Times New Roman CYR" w:hAnsi="Times New Roman CYR" w:cs="Times New Roman CYR"/>
          <w:sz w:val="28"/>
          <w:szCs w:val="28"/>
          <w:lang w:val="uk-UA"/>
        </w:rPr>
        <w:t xml:space="preserve"> 30 - 36</w:t>
      </w:r>
      <w:r>
        <w:rPr>
          <w:rFonts w:ascii="Times New Roman CYR" w:hAnsi="Times New Roman CYR" w:cs="Times New Roman CYR"/>
          <w:sz w:val="28"/>
          <w:szCs w:val="28"/>
        </w:rPr>
        <w:t>]</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Первая Украинская фондовая площадка появилась в феврале 1996 года, ею стала фондовая биржа ПФТС. Но нормально функционировать ПФТС смогла только с начала 2000-х годов, когда сформировался индекс ПФТС, который на сегодняшний день включает в себя 20 эмитентов (предприятий) из разных отраслей экономики Украины и торгуется в реальном времени. Индекс ПФТС на сегодняшний день является главным индикатором состояния украинского рынка акций, на этой площадке также проходят торги корпоративными, муниципальными, государственными облигациями и инвестиционными сертификатами.</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октября 2008 года у ПФТС появился серьезный конкурент. Под эгидой Российской биржи РТС была зарегистрирована ОАО «Украинская биржа», которая рассчитывает свой собственный индекс UX, в него входят идентичные ПФТС предприятия. Объемы торгов на обеих площадках сопоставимы и они ведут конкурентную борьбу между собой.</w:t>
      </w:r>
    </w:p>
    <w:p w:rsidR="00CA7AE8" w:rsidRDefault="00CA7AE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1.1</w:t>
      </w:r>
    </w:p>
    <w:p w:rsidR="00CA7AE8" w:rsidRDefault="000543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Список фондовых бирж, функционирующих в Украине [&lt;http://www.ssmsc.gov.ua&gt;]</w:t>
      </w:r>
    </w:p>
    <w:tbl>
      <w:tblPr>
        <w:tblW w:w="0" w:type="auto"/>
        <w:tblInd w:w="-98" w:type="dxa"/>
        <w:tblBorders>
          <w:top w:val="single" w:sz="4" w:space="0" w:color="000000"/>
          <w:left w:val="single" w:sz="4" w:space="0" w:color="000000"/>
          <w:bottom w:val="single" w:sz="4" w:space="0" w:color="000000"/>
          <w:right w:val="single" w:sz="4" w:space="0" w:color="000000"/>
        </w:tblBorders>
        <w:tblLayout w:type="fixed"/>
        <w:tblCellMar>
          <w:left w:w="10" w:type="dxa"/>
          <w:right w:w="10" w:type="dxa"/>
        </w:tblCellMar>
        <w:tblLook w:val="0000" w:firstRow="0" w:lastRow="0" w:firstColumn="0" w:lastColumn="0" w:noHBand="0" w:noVBand="0"/>
      </w:tblPr>
      <w:tblGrid>
        <w:gridCol w:w="1144"/>
        <w:gridCol w:w="7753"/>
      </w:tblGrid>
      <w:tr w:rsidR="00CA7AE8">
        <w:tc>
          <w:tcPr>
            <w:tcW w:w="1144"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uk-UA"/>
              </w:rPr>
              <w:t>№ п/п</w:t>
            </w:r>
          </w:p>
        </w:tc>
        <w:tc>
          <w:tcPr>
            <w:tcW w:w="7753"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Название биржи</w:t>
            </w:r>
          </w:p>
        </w:tc>
      </w:tr>
      <w:tr w:rsidR="00CA7AE8">
        <w:tc>
          <w:tcPr>
            <w:tcW w:w="1144"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7753"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ПАО«Українська біржа»</w:t>
            </w:r>
          </w:p>
        </w:tc>
      </w:tr>
      <w:tr w:rsidR="00CA7AE8">
        <w:tc>
          <w:tcPr>
            <w:tcW w:w="1144"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7753"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ПАО «Фондова біржа» ПФТС»</w:t>
            </w:r>
          </w:p>
        </w:tc>
      </w:tr>
      <w:tr w:rsidR="00CA7AE8">
        <w:tc>
          <w:tcPr>
            <w:tcW w:w="1144"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7753"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ПАО «Фондова біржа «Перспектива»</w:t>
            </w:r>
          </w:p>
        </w:tc>
      </w:tr>
      <w:tr w:rsidR="00CA7AE8">
        <w:tc>
          <w:tcPr>
            <w:tcW w:w="1144"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7753"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Частное акционерное общество "Українська міжбанківська валютна біржа"</w:t>
            </w:r>
          </w:p>
        </w:tc>
      </w:tr>
      <w:tr w:rsidR="00CA7AE8">
        <w:tc>
          <w:tcPr>
            <w:tcW w:w="1144"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7753"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Частное акционерное общество «Українська фондова біржа»</w:t>
            </w:r>
          </w:p>
        </w:tc>
      </w:tr>
      <w:tr w:rsidR="00CA7AE8">
        <w:tc>
          <w:tcPr>
            <w:tcW w:w="1144"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7753"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ПАО «Київська міжнародна фондова біржа»</w:t>
            </w:r>
          </w:p>
        </w:tc>
      </w:tr>
      <w:tr w:rsidR="00CA7AE8">
        <w:tc>
          <w:tcPr>
            <w:tcW w:w="1144"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7753"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Частное акционерное общество «Фондова біржа «ІННЕКС»</w:t>
            </w:r>
          </w:p>
        </w:tc>
      </w:tr>
      <w:tr w:rsidR="00CA7AE8">
        <w:tc>
          <w:tcPr>
            <w:tcW w:w="1144"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7753"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Частное акционерное общество «Придніпровська фондова біржа»</w:t>
            </w:r>
          </w:p>
        </w:tc>
      </w:tr>
      <w:tr w:rsidR="00CA7AE8">
        <w:tc>
          <w:tcPr>
            <w:tcW w:w="1144"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7753"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ПАО «Східно-Європейська фондова біржа»</w:t>
            </w:r>
          </w:p>
        </w:tc>
      </w:tr>
      <w:tr w:rsidR="00CA7AE8">
        <w:tc>
          <w:tcPr>
            <w:tcW w:w="1144"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7753"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Частное акционерное общество «Українська Міжнародна Фондова Біржа»</w:t>
            </w:r>
          </w:p>
        </w:tc>
      </w:tr>
    </w:tbl>
    <w:p w:rsidR="00CA7AE8" w:rsidRDefault="00CA7AE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 xml:space="preserve">По объему торговли акциями лидирует Украинская биржа, благодаря именно ей появился рынок заявок и интернет-трейдинг. По объему торговли облигациями лидирует биржа ПФТС.[7, </w:t>
      </w:r>
      <w:r>
        <w:rPr>
          <w:rFonts w:ascii="Times New Roman CYR" w:hAnsi="Times New Roman CYR" w:cs="Times New Roman CYR"/>
          <w:sz w:val="28"/>
          <w:szCs w:val="28"/>
          <w:lang w:val="en-US"/>
        </w:rPr>
        <w:t>c</w:t>
      </w:r>
      <w:r>
        <w:rPr>
          <w:rFonts w:ascii="Times New Roman CYR" w:hAnsi="Times New Roman CYR" w:cs="Times New Roman CYR"/>
          <w:sz w:val="28"/>
          <w:szCs w:val="28"/>
        </w:rPr>
        <w:t>.25]</w:t>
      </w:r>
    </w:p>
    <w:p w:rsidR="00CA7AE8" w:rsidRDefault="00CA7AE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uk-UA"/>
        </w:rPr>
        <w:br w:type="page"/>
      </w:r>
      <w:r>
        <w:rPr>
          <w:rFonts w:ascii="Times New Roman CYR" w:hAnsi="Times New Roman CYR" w:cs="Times New Roman CYR"/>
          <w:sz w:val="28"/>
          <w:szCs w:val="28"/>
        </w:rPr>
        <w:lastRenderedPageBreak/>
        <w:t>РАЗДЕЛ 2. Организация и анализ деятельности фондовых бирж</w:t>
      </w:r>
    </w:p>
    <w:p w:rsidR="00CA7AE8" w:rsidRDefault="00CA7AE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2.1 Порядок организации и проведения биржевых торгов</w:t>
      </w:r>
    </w:p>
    <w:p w:rsidR="00CA7AE8" w:rsidRDefault="00CA7AE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Фондовая биржа обеспечивает организацию и проведение регулярных торгов ценными бумагами, регистрирует сделки купли-продажи ценных бумаг, определяет условия и порядок исполнения заключенных договоров и осуществляет контроль за их выполнением.</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Существует два основных вида рынков на фондовой бирже: рынок котировок и рынок заявок.</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Рынок котировок - это фондовый рынок, который работает по принципу конкурирующих твердых котировок. Участники торгов, брокеры, у которых есть место на бирже, по поручению клиентов, через биржевой терминал выставляют котировки на определенных условиях (количество, цена, время поставки бумаг). После выставления котировки другие брокеры видят, кто из них выставил котировку, это позволяет им вести переговоры об условиях заключения сделки. Сделка происходит в том случае, если данная котировка будет удовлетворена другим участником рынка, которого все эти условия устраивают. Рынок котировок не обеспечен активами</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rPr>
        <w:t>Рынок заявок - это относительно новый рынок, который появился в Украине в конце марта 2009 года, именно благодаря появлению рынка заявок стала возможна услуга интернет-трейдинг, которая сделала доступной работу на фондовой бирже для многих украинцев.</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Эти рынки имеют ряд отличий, которые представлены в таблице 2.1.</w:t>
      </w:r>
    </w:p>
    <w:p w:rsidR="00CA7AE8" w:rsidRDefault="00CA7AE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br w:type="page"/>
      </w:r>
      <w:r>
        <w:rPr>
          <w:rFonts w:ascii="Times New Roman CYR" w:hAnsi="Times New Roman CYR" w:cs="Times New Roman CYR"/>
          <w:sz w:val="28"/>
          <w:szCs w:val="28"/>
          <w:lang w:val="uk-UA"/>
        </w:rPr>
        <w:lastRenderedPageBreak/>
        <w:t>Таблица 2.1</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Сравнительная характеристика рынка заявок и рынка котировок [23]</w:t>
      </w:r>
    </w:p>
    <w:tbl>
      <w:tblPr>
        <w:tblW w:w="0" w:type="auto"/>
        <w:tblInd w:w="-98" w:type="dxa"/>
        <w:tblBorders>
          <w:top w:val="single" w:sz="4" w:space="0" w:color="000000"/>
          <w:left w:val="single" w:sz="4" w:space="0" w:color="000000"/>
          <w:bottom w:val="single" w:sz="4" w:space="0" w:color="000000"/>
          <w:right w:val="single" w:sz="4" w:space="0" w:color="000000"/>
        </w:tblBorders>
        <w:tblLayout w:type="fixed"/>
        <w:tblCellMar>
          <w:left w:w="10" w:type="dxa"/>
          <w:right w:w="10" w:type="dxa"/>
        </w:tblCellMar>
        <w:tblLook w:val="0000" w:firstRow="0" w:lastRow="0" w:firstColumn="0" w:lastColumn="0" w:noHBand="0" w:noVBand="0"/>
      </w:tblPr>
      <w:tblGrid>
        <w:gridCol w:w="4546"/>
        <w:gridCol w:w="4634"/>
      </w:tblGrid>
      <w:tr w:rsidR="00CA7AE8">
        <w:tc>
          <w:tcPr>
            <w:tcW w:w="4546"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Рынок заявок</w:t>
            </w:r>
          </w:p>
        </w:tc>
        <w:tc>
          <w:tcPr>
            <w:tcW w:w="4634"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Рынок котировок</w:t>
            </w:r>
          </w:p>
        </w:tc>
      </w:tr>
      <w:tr w:rsidR="00CA7AE8">
        <w:tc>
          <w:tcPr>
            <w:tcW w:w="4546"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Анонимные заявки</w:t>
            </w:r>
          </w:p>
        </w:tc>
        <w:tc>
          <w:tcPr>
            <w:tcW w:w="4634"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Неанонимные котировки (возможность переговоров).</w:t>
            </w:r>
          </w:p>
        </w:tc>
      </w:tr>
      <w:tr w:rsidR="00CA7AE8">
        <w:tc>
          <w:tcPr>
            <w:tcW w:w="4546"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lang w:val="uk-UA"/>
              </w:rPr>
            </w:pPr>
            <w:r>
              <w:rPr>
                <w:rFonts w:ascii="Times New Roman CYR" w:hAnsi="Times New Roman CYR" w:cs="Times New Roman CYR"/>
                <w:sz w:val="20"/>
                <w:szCs w:val="20"/>
              </w:rPr>
              <w:t>Количество заявок ограничено наличием актива</w:t>
            </w:r>
            <w:r>
              <w:rPr>
                <w:rFonts w:ascii="Times New Roman CYR" w:hAnsi="Times New Roman CYR" w:cs="Times New Roman CYR"/>
                <w:sz w:val="20"/>
                <w:szCs w:val="20"/>
                <w:lang w:val="uk-UA"/>
              </w:rPr>
              <w:t>.</w:t>
            </w:r>
          </w:p>
        </w:tc>
        <w:tc>
          <w:tcPr>
            <w:tcW w:w="4634"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котировок не ограничено,.</w:t>
            </w:r>
          </w:p>
        </w:tc>
      </w:tr>
      <w:tr w:rsidR="00CA7AE8">
        <w:tc>
          <w:tcPr>
            <w:tcW w:w="4546"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Исполнение сделки проходит сразу в этот же день </w:t>
            </w:r>
          </w:p>
        </w:tc>
        <w:tc>
          <w:tcPr>
            <w:tcW w:w="4634"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lang w:val="uk-UA"/>
              </w:rPr>
            </w:pPr>
            <w:r>
              <w:rPr>
                <w:rFonts w:ascii="Times New Roman CYR" w:hAnsi="Times New Roman CYR" w:cs="Times New Roman CYR"/>
                <w:sz w:val="20"/>
                <w:szCs w:val="20"/>
              </w:rPr>
              <w:t>Исполнение сделки имеет отложенный характер (Т+п), где п - количество дней, после которых будут проведены расчеты по сделке (от 0 до 10). Если актив не поставлен, дается еще возможность поставить в срок Т + п + 5, при этом компания, не выполнившая свои обязательства, платит штраф бирже (1%</w:t>
            </w:r>
            <w:r>
              <w:rPr>
                <w:rFonts w:ascii="Times New Roman CYR" w:hAnsi="Times New Roman CYR" w:cs="Times New Roman CYR"/>
                <w:sz w:val="20"/>
                <w:szCs w:val="20"/>
                <w:lang w:val="uk-UA"/>
              </w:rPr>
              <w:t xml:space="preserve"> </w:t>
            </w:r>
            <w:r>
              <w:rPr>
                <w:rFonts w:ascii="Times New Roman CYR" w:hAnsi="Times New Roman CYR" w:cs="Times New Roman CYR"/>
                <w:sz w:val="20"/>
                <w:szCs w:val="20"/>
              </w:rPr>
              <w:t>от суммы сделки) и контрагенту (5% от суммы сделки). Компании, не выполнившей свои обязательства, блокируется доступ в систему.</w:t>
            </w:r>
          </w:p>
        </w:tc>
      </w:tr>
      <w:tr w:rsidR="00CA7AE8">
        <w:tc>
          <w:tcPr>
            <w:tcW w:w="4546"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Возможно частичное исполнение заявки, т.к. мож</w:t>
            </w:r>
            <w:r>
              <w:rPr>
                <w:rFonts w:ascii="Times New Roman CYR" w:hAnsi="Times New Roman CYR" w:cs="Times New Roman CYR"/>
                <w:sz w:val="20"/>
                <w:szCs w:val="20"/>
                <w:lang w:val="uk-UA"/>
              </w:rPr>
              <w:t>но</w:t>
            </w:r>
            <w:r>
              <w:rPr>
                <w:rFonts w:ascii="Times New Roman CYR" w:hAnsi="Times New Roman CYR" w:cs="Times New Roman CYR"/>
                <w:sz w:val="20"/>
                <w:szCs w:val="20"/>
              </w:rPr>
              <w:t xml:space="preserve"> купить не весь лот. некоторую его часть (в соответствии с минимальной стоимостью лота для этой ценной бумаги).</w:t>
            </w:r>
          </w:p>
        </w:tc>
        <w:tc>
          <w:tcPr>
            <w:tcW w:w="4634"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Обычно только полное исполнение котировки, но возможна заявка типа Айсберг (с частичным исполнением и скрытым полным объемом).</w:t>
            </w:r>
          </w:p>
        </w:tc>
      </w:tr>
      <w:tr w:rsidR="00CA7AE8">
        <w:tc>
          <w:tcPr>
            <w:tcW w:w="4546"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Примеры: «Украинская биржа» (рынок заявок), ПФТС (рынок заявок); ММВБ (Россия); </w:t>
            </w:r>
            <w:r>
              <w:rPr>
                <w:rFonts w:ascii="Times New Roman CYR" w:hAnsi="Times New Roman CYR" w:cs="Times New Roman CYR"/>
                <w:sz w:val="20"/>
                <w:szCs w:val="20"/>
                <w:lang w:val="en-US"/>
              </w:rPr>
              <w:t>NYSE</w:t>
            </w:r>
            <w:r>
              <w:rPr>
                <w:rFonts w:ascii="Times New Roman CYR" w:hAnsi="Times New Roman CYR" w:cs="Times New Roman CYR"/>
                <w:sz w:val="20"/>
                <w:szCs w:val="20"/>
              </w:rPr>
              <w:t xml:space="preserve"> (США)</w:t>
            </w:r>
          </w:p>
        </w:tc>
        <w:tc>
          <w:tcPr>
            <w:tcW w:w="4634"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Примеры: «Украинская биржа» (рынок котировок), ПФТС (рынок котировок); РТС Классика (Россия); </w:t>
            </w:r>
            <w:r>
              <w:rPr>
                <w:rFonts w:ascii="Times New Roman CYR" w:hAnsi="Times New Roman CYR" w:cs="Times New Roman CYR"/>
                <w:sz w:val="20"/>
                <w:szCs w:val="20"/>
                <w:lang w:val="en-US"/>
              </w:rPr>
              <w:t>NASDAQ</w:t>
            </w:r>
            <w:r>
              <w:rPr>
                <w:rFonts w:ascii="Times New Roman CYR" w:hAnsi="Times New Roman CYR" w:cs="Times New Roman CYR"/>
                <w:sz w:val="20"/>
                <w:szCs w:val="20"/>
              </w:rPr>
              <w:t xml:space="preserve"> (США).</w:t>
            </w:r>
          </w:p>
        </w:tc>
      </w:tr>
    </w:tbl>
    <w:p w:rsidR="00CA7AE8" w:rsidRDefault="00CA7AE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rPr>
        <w:t>Именно на рынке заявок частные инвесторы покупают или продают наиболее ликвидные ценные бумаги украинского фондового рынка, таких около 40 шт. Их список регулярно обновляется, по мере роста ликвидности</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Основными формами членства на биржах является постоянное, временное членство, дневное или гостевое участие. Согласно форме членства на бирже определяется и статус ее члена.</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Статус регламентирует участие в работе органов управления биржей, право на получение коммерческой информации и т.п. Членами биржи могут быть физические лица, однако если член биржи является ее совладельцем, то вся фирма считается членом биржи.</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Место или членство на фондовой бирже можно продать или сдать в аренду. Постоянные члены биржи имеют право выдвигать своих кандидатов для работы в центральных органах управления биржей. Они пользуются минимальными ставками комиссионных при совершении или оформлении сделок с фондовыми </w:t>
      </w:r>
      <w:r>
        <w:rPr>
          <w:rFonts w:ascii="Times New Roman CYR" w:hAnsi="Times New Roman CYR" w:cs="Times New Roman CYR"/>
          <w:sz w:val="28"/>
          <w:szCs w:val="28"/>
        </w:rPr>
        <w:lastRenderedPageBreak/>
        <w:t xml:space="preserve">ценностями, платят годовой взнос за участие в работе биржи. Постоянные члены имеют право на свою долю активов биржи при его ликвидации - роспуске или расформировании. [21, </w:t>
      </w:r>
      <w:r>
        <w:rPr>
          <w:rFonts w:ascii="Times New Roman CYR" w:hAnsi="Times New Roman CYR" w:cs="Times New Roman CYR"/>
          <w:sz w:val="28"/>
          <w:szCs w:val="28"/>
          <w:lang w:val="en-US"/>
        </w:rPr>
        <w:t>c</w:t>
      </w:r>
      <w:r>
        <w:rPr>
          <w:rFonts w:ascii="Times New Roman CYR" w:hAnsi="Times New Roman CYR" w:cs="Times New Roman CYR"/>
          <w:sz w:val="28"/>
          <w:szCs w:val="28"/>
        </w:rPr>
        <w:t>.121]</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Временные члены биржи получают право участия в работе фондовой биржи на один, шесть, девять месяцев или год. При этом они не имеют права выдвигать своих кандидатур для управления биржей, ограничены в правах доступа к базам данных, платят относительно высокие ставки комиссионных.</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западной практике разовые или дневные посетители покупают гостевой билет и имеют право совершать сделки на бирже только через посредника. По правилам УФБ, например, биржевой сбор с торговца ценными бумагами за разовый допуск к участию в торгах составляет пять минимальных заработных плат и один процент от суммы заключенных сделок.[4]</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фондовых биржах различают следующие категории участников:</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брокеры комиссионных домов (инвестиционных фирм, банков), к которым относятся сотрудники фирм, члены фондовой биржи, выполняющие приказы клиентов своих фирм по купле-продаже акций. Они не имеют права совершать сделки за свой счет и только доставляют поручения клиенту в операционный зал;</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брокеры торгового зала - члены фондовой биржи, выполняющие поручения других брокеров по любой ценной бумаги для любой организации, им за это платят комиссионные;</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Схема работы брокера представлена на рисунке 2.1</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noProof/>
          <w:sz w:val="28"/>
          <w:szCs w:val="28"/>
        </w:rPr>
        <w:br w:type="page"/>
      </w:r>
      <w:r w:rsidR="004C0537">
        <w:rPr>
          <w:rFonts w:ascii="Microsoft Sans Serif" w:hAnsi="Microsoft Sans Serif" w:cs="Microsoft Sans Serif"/>
          <w:noProof/>
          <w:sz w:val="17"/>
          <w:szCs w:val="17"/>
        </w:rPr>
        <w:lastRenderedPageBreak/>
        <w:drawing>
          <wp:inline distT="0" distB="0" distL="0" distR="0">
            <wp:extent cx="4053840" cy="2095500"/>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53840" cy="2095500"/>
                    </a:xfrm>
                    <a:prstGeom prst="rect">
                      <a:avLst/>
                    </a:prstGeom>
                    <a:noFill/>
                    <a:ln>
                      <a:noFill/>
                    </a:ln>
                  </pic:spPr>
                </pic:pic>
              </a:graphicData>
            </a:graphic>
          </wp:inline>
        </w:drawing>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2.1. Классическая схема работы через брокера [24, c.45]</w:t>
      </w:r>
    </w:p>
    <w:p w:rsidR="00CA7AE8" w:rsidRDefault="00CA7AE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специалисты - члены фондовых бирж, которые курируют определенную группу ценных бумаг, осуществляющих операции непосредственно в операционном зале, их главная функция заключается, прежде всего, в обеспечении ликвидности фондового рынка, порядка и справедливости ведения рыночных операций с ценными бумагами, с которыми они работают.</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биржевые маклеры - члены биржи, осуществляющие операции в торговом зале за свой счет или выполняющие поручения, в которых они имеют долю участия.</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Есть еще две категории членов фондовой биржи - облигационные брокеры, осуществляющие сделки исключительно с облигациями, и ассоциированные члены, к которым относятся лица, которые допускаются в операционный зал биржи, но не имеют права совершать сделки. Следует отметить, что главная роль на фондовой бирже принадлежит двум первым группам ее членов. Члены биржи ежегодно проводят собрания для избрания членов Правления и других выборных лиц. Правление имеет все необходимые полномочия для управления деятельностью биржи, деловыми операциями ее членов. [24, </w:t>
      </w:r>
      <w:r>
        <w:rPr>
          <w:rFonts w:ascii="Times New Roman CYR" w:hAnsi="Times New Roman CYR" w:cs="Times New Roman CYR"/>
          <w:sz w:val="28"/>
          <w:szCs w:val="28"/>
          <w:lang w:val="en-US"/>
        </w:rPr>
        <w:t>c</w:t>
      </w:r>
      <w:r>
        <w:rPr>
          <w:rFonts w:ascii="Times New Roman CYR" w:hAnsi="Times New Roman CYR" w:cs="Times New Roman CYR"/>
          <w:sz w:val="28"/>
          <w:szCs w:val="28"/>
        </w:rPr>
        <w:t>.51]</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 как брокеры на биржах работают в качестве посредников по заказам </w:t>
      </w:r>
      <w:r>
        <w:rPr>
          <w:rFonts w:ascii="Times New Roman CYR" w:hAnsi="Times New Roman CYR" w:cs="Times New Roman CYR"/>
          <w:sz w:val="28"/>
          <w:szCs w:val="28"/>
        </w:rPr>
        <w:lastRenderedPageBreak/>
        <w:t>(приказам) различных клиентов на покупку и продажу ценных бумаг, во всем мире разработана и используется специальная классификация таких заказов. Поручения клиентов брокерам на куплю или продажу делаются в виде следующих заказов (приказов) на сделку:</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Рыночный заказ - поручение на покупку или продажу ценных бумаг по текущей рыночной цене. Если в приказе нет указания цены, то заказ считается рыночным. Такие заказы называются «по курсу дня» или ПКД, они выполняются в первую очередь и по наилучшей цене на момент поступления приказав операционный зал. Этот приказ отличается скоростью и уверенностью выполнения.</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Лимитированный (ограниченный) заказ - поручение на покупку или продажу по оговоренной клиентом цене. При этом покупка осуществляется по данной цене или ниже, а продажа - по установленной цене или выше (или на более выгодных условиях). Понятно, что имеется вероятность невыполнения такого приказа или задержки с его исполнением.</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Стоп-заказ (буферный) - поручение на покупку или продажу, которое должно быть по возможности реализовано, как только рыночная цена ЦБ достигнет заранее оговоренной клиентом величины. Существуют различные ситуации, при которых используются такие приказы. Например, стоп-приказ на продажу для защиты существующей прибыли при «длинной» покупке или стоп-приказ на покупку при «короткой» продаже (защитительные приказы).</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Стоп-приказы бывают следующих видов: стоп-лосс и стоп-профит.</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Стоп-лосс (Stop-loss) - приказ или решение о закрытии позиции с заранее известными убытками с целью предохранения от больших потерь (например, при ожидаемом падении цен). Некоторые специалисты считают, что этот приказ следует устанавливать по уровню примерно 5% от начальной цены акций. В </w:t>
      </w:r>
      <w:r>
        <w:rPr>
          <w:rFonts w:ascii="Times New Roman CYR" w:hAnsi="Times New Roman CYR" w:cs="Times New Roman CYR"/>
          <w:sz w:val="28"/>
          <w:szCs w:val="28"/>
        </w:rPr>
        <w:lastRenderedPageBreak/>
        <w:t>условиях Украины при значительных спрэдах между ценой продажи и покупки этот прием пока сложно использовать.</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Стоп-прибыль (Stop-profit) - приказ или решение о закрытии позиции с прибылью в случае благоприятного движения курса и с целью фиксации прибыли и предохранения ее от изменения тенденции движения цен в противоположном направлении. [6, </w:t>
      </w:r>
      <w:r>
        <w:rPr>
          <w:rFonts w:ascii="Times New Roman CYR" w:hAnsi="Times New Roman CYR" w:cs="Times New Roman CYR"/>
          <w:sz w:val="28"/>
          <w:szCs w:val="28"/>
          <w:lang w:val="en-US"/>
        </w:rPr>
        <w:t>c</w:t>
      </w:r>
      <w:r>
        <w:rPr>
          <w:rFonts w:ascii="Times New Roman CYR" w:hAnsi="Times New Roman CYR" w:cs="Times New Roman CYR"/>
          <w:sz w:val="28"/>
          <w:szCs w:val="28"/>
        </w:rPr>
        <w:t>.256]</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эти приемы направлены на минимизацию потерь при колебаниях курса акций. Следует учитывать, что одновременно с некоторым снижением риска потерь происходит увеличение количества сделок и увеличение накладных расходов.</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зависимости от времени действия лимитированные буферные заказы делятся на дневные (действительны до конца текущего торгового дня - GTD) и открытые (до погашения или до отмены - GTC). Открытые обязательно аннулируются чаще всего два раза в год, например, в конце апреля и октября. Возможно их ограничение более коротким сроком, например, на неделю или месяц. Если в заказе срок не указан, то он считается дневным.[22.]</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украинских биржах используются следующие основные виды разовых заказов: [4]</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рыночный заказ на куплю (РЗК) - заказ купить ценные бумаги по минимальной цене;</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рыночный заказ на продажу (РЗП) - заказ продать ценные бумаги по максимальной цене;</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лимитный заказ на куплю (ЛЗК) - заказ купить ценные бумаги по цене, не превышающей оговоренную;</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лимитный заказ на продажу (ЛЗП) - заказ продать ценные бумаги по цене, которая не ниже оговоренной;</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ab/>
        <w:t>стоп-заказ на куплю (СЗК) - заказ купить ценные бумаги в тот момент, когда цена достигнет оговоренного уровня;</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стоп-заказ на продажу (СЗП) - заказ продать ценные бумаги в тот момент, когда цена достигнет оговоренного уровня;</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заказ на срок (СЗ) - заказ, который действует в течение установленного срока;</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открытый заказ (03) - заказ, который действует до момента выполнения или отзыва (отмены);</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другие виды заказов, предусмотренные законодательством или договором с клиентом.</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разовом заказе могут быть указаны особые условия выполнения операции по купле-продаже ценных бумаг.</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Короткими продажами считаются продажи без покрытия или продажи взятых взаймы ценных бумаг. Эти продажи часто осуществляются спекулянтами в ожидании снижения цен на акции.</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 сделки на биржах обычно делятся на сделки с полными лотами и неполными лотами. Полный лот - это минимальное количество акций (или другого актива), являющееся единицей торговли на бирже (часто это 100 акций). Неполный лот - это количество, которое меньше числа акций, которые необходимы для того, чтобы составить стандартную единицу. Торговля неполными лотами обычно регулируется отдельными правилами и даже может проводиться в отдельном секторе биржевого зала.</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Оговорки (примечания) в биржевых заказах (приказах). Это дополнительные условия, которые указываются в биржевых приказах. На разных биржах они могут несколько отличаться. Бывают следующие основные оговорки:</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ab/>
        <w:t>Разрешение брокеру действовать по своему усмотрению - исполнить контракт немедленно или отложить до возникновения более благоприятной обстановки на торгах.</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«Исполнить или отменить» - исполнить немедленно в полном объеме или отменить, если исполнение невозможно.</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«Исполнить немедленно или отменить» - аналогично предыдущей оговорке, но приказ можно выполнить частично.</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«Только в полном объеме» - для операций с крупными партиями акций. Приказ должен быть выполнен в полном объеме или аннулирован (все или ничего).</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«В момент открытия» или «В момент закрытия».</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«Цену не снижать и не повышать» - цена не должна корректироваться.</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 В заданной последовательности ».</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Такая система приказов, которые клиенты дают брокерам, действует как на приказном, так и на котировочном рынке.[3, </w:t>
      </w:r>
      <w:r>
        <w:rPr>
          <w:rFonts w:ascii="Times New Roman CYR" w:hAnsi="Times New Roman CYR" w:cs="Times New Roman CYR"/>
          <w:sz w:val="28"/>
          <w:szCs w:val="28"/>
          <w:lang w:val="en-US"/>
        </w:rPr>
        <w:t>c</w:t>
      </w:r>
      <w:r>
        <w:rPr>
          <w:rFonts w:ascii="Times New Roman CYR" w:hAnsi="Times New Roman CYR" w:cs="Times New Roman CYR"/>
          <w:sz w:val="28"/>
          <w:szCs w:val="28"/>
        </w:rPr>
        <w:t>.542]</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 из основных функций биржи - котировка ценных бумаг.</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Биржевая котировка - это определение курсов ЦБ, которое осуществляется путем сбора данных по спросу и предложению, сопоставления лимитов цен заказов на покупку и продажу ценных бумаг и определения оптимальной цены (курса дня), при которой исполняется наибольшее число заказов и создается наибольший оборот ценных бумаг на бирже. Биржевой курс ценной бумаги - рыночная цена ценной бумаги, которая определяется по результатам биржевых торгов на основании заключенных биржевых соглашений. Котировка предполагает обязательную публикацию в биржевых бюллетенях и других средствах массовой информации.</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Существует два основных вида котировки:</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Фиксинговое котирование - это сопоставление в точно определенное время, не чаще одного раза в день, реального спроса и предложения по ЦБ. При этом действует одна цена в течение биржевого дня. Заявки брокеров собираются заранее, обрабатываются и подаются перед котировкой на биржу в день торгов. Характерным примером фиксингового котирования является определение средневзвешенной цены по ОВГЗ. В этом случае биржевой курс устанавливается на уровне, обеспечивающем наибольший объем совершенных сделок. Этот вид котировки часто называют методом установления единого курса. Возможен вариант, при котором фиксинг проводится несколько раз в день.</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Мультификсинг - постоянное сопоставление спроса и предложения на куплю-продажу ЦБ. При этом курсом на данный момент является цена, по которой были выполнены последние заявки. В течение дня при мультификсинге действует много курсов. Заявки клиентов подаются брокерам для участия в торгах в течение всего биржевого дня. При этом конъюнктура рынка меняется в соответствии с изменением количества и объема заявок. Таким образом, это метод, использующий регистрацию фактических цен сделок, формирующихся на основании спроса и предложения.</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Методы котировки ценных бумаг, применяемые на фондовых биржах, позволяют проводить сделки с учетом справедливой рыночной цены, действующей в момент торговли и формируемой в результате простого или двойного аукциона.</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Простой (односторонний) аукцион - это аукцион, в соответствии с которым ценные бумаги продаются тому, кто предложит большую цену, а покупаются у того, кто предложит минимальную цену.</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Двойной непрерывный аукцион - это аукцион, в соответствии с которым продавцы постепенно снижают цены, а покупатели повышают, при совпадении цен на покупку и продажу заключаются биржевые сделки.</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последним сделкам текущего биржевого дня определяется и затем публикуется цена закрытия по всем ценным бумагам, котирующимся на бирже.</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организацию биржевых торгов. Характерные особенности биржевой торговли представлены на рис. 2.2.</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всех известных биржах с личным присутствием торговый зал биржи делится на несколько секторов, каждый из которых предназначен для торговли определенными видами ценных бумаг и в которых брокеры получают информацию о текущих котировках этих бумаг. При этом при системе открытых аукционных торгов происходит непрерывное сопоставление цен на покупку и цен на продажу. Сделка совершается и оформляется тогда, когда покупатель и продавец договариваются о приемлемом уровне цены по сделке.</w:t>
      </w:r>
    </w:p>
    <w:p w:rsidR="00CA7AE8" w:rsidRDefault="000543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br w:type="page"/>
      </w:r>
      <w:r w:rsidR="004C0537">
        <w:rPr>
          <w:rFonts w:ascii="Microsoft Sans Serif" w:hAnsi="Microsoft Sans Serif" w:cs="Microsoft Sans Serif"/>
          <w:noProof/>
          <w:sz w:val="17"/>
          <w:szCs w:val="17"/>
        </w:rPr>
        <w:drawing>
          <wp:inline distT="0" distB="0" distL="0" distR="0">
            <wp:extent cx="5128260" cy="23850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28260" cy="2385060"/>
                    </a:xfrm>
                    <a:prstGeom prst="rect">
                      <a:avLst/>
                    </a:prstGeom>
                    <a:noFill/>
                    <a:ln>
                      <a:noFill/>
                    </a:ln>
                  </pic:spPr>
                </pic:pic>
              </a:graphicData>
            </a:graphic>
          </wp:inline>
        </w:drawing>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Рис. 2.2 Характерные особенности биржевой торговли [3, </w:t>
      </w:r>
      <w:r>
        <w:rPr>
          <w:rFonts w:ascii="Times New Roman CYR" w:hAnsi="Times New Roman CYR" w:cs="Times New Roman CYR"/>
          <w:sz w:val="28"/>
          <w:szCs w:val="28"/>
          <w:lang w:val="en-US"/>
        </w:rPr>
        <w:t>c</w:t>
      </w:r>
      <w:r>
        <w:rPr>
          <w:rFonts w:ascii="Times New Roman CYR" w:hAnsi="Times New Roman CYR" w:cs="Times New Roman CYR"/>
          <w:sz w:val="28"/>
          <w:szCs w:val="28"/>
        </w:rPr>
        <w:t xml:space="preserve"> 546]</w:t>
      </w:r>
    </w:p>
    <w:p w:rsidR="00CA7AE8" w:rsidRDefault="00CA7AE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достаточном количестве заявок на покупку и продажу акций на фондовых биржах торговля обычно осуществляется в виде нескольких организационных периодов: предторгового периода, основной торговой сессии и послеторгового периода.</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Торговая сессия - определенный фондовой биржей период времени торгового дня, в течение которого на фондовой бирже осуществляется заключение биржевых соглашений.</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торговле по заказам брокеры передают маклеру или специалисту письменные заявки на покупку и продажу с указанием цены и количества ценных бумаг (при рыночных заявках цена не указывается). На сегодняшний день торговля по заказам обеспечивается с помощью современной компьютерной техники и специализированного программного обеспечения. Такая передача и обработка заказов может проводиться один раз в день или даже несколько раз в день с заданной периодичностью в зависимости от активности торгов.</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соответствии с правилами биржи после обработки заказов может производиться торговля с голоса, часто в виде аукциона или путем личных контактов брокеров между собой. Каждая заключенная сделка немедленно </w:t>
      </w:r>
      <w:r>
        <w:rPr>
          <w:rFonts w:ascii="Times New Roman CYR" w:hAnsi="Times New Roman CYR" w:cs="Times New Roman CYR"/>
          <w:sz w:val="28"/>
          <w:szCs w:val="28"/>
        </w:rPr>
        <w:lastRenderedPageBreak/>
        <w:t>регистрируется и: передается на оформление. В результате того, что по каждой сделке может быть своя цена, в каждый момент времени будет фигурировать новая котировка. Это соответствует системе мультификсинга.</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торговле по заказам брокеры передают маклеру или специалисту письменные заявки на покупку и продажу с указанием цены и количества ценных бумаг (при заявках ПКД цена не указывается). Эти заявки фиксируются, в определенный момент маклер их сравнивает и рассчитывает такой курс ценной бумаги, при котором будет продано их наибольшее количество.[31, </w:t>
      </w:r>
      <w:r>
        <w:rPr>
          <w:rFonts w:ascii="Times New Roman CYR" w:hAnsi="Times New Roman CYR" w:cs="Times New Roman CYR"/>
          <w:sz w:val="28"/>
          <w:szCs w:val="28"/>
          <w:lang w:val="en-US"/>
        </w:rPr>
        <w:t>c</w:t>
      </w:r>
      <w:r>
        <w:rPr>
          <w:rFonts w:ascii="Times New Roman CYR" w:hAnsi="Times New Roman CYR" w:cs="Times New Roman CYR"/>
          <w:sz w:val="28"/>
          <w:szCs w:val="28"/>
        </w:rPr>
        <w:t>.127]</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большинстве фондовых бирж существует возможность приостановки очередных торгов в случае сильной неустойчивости рынка. Например, руководство биржи или государственный представитель имеет право приостанавливать очередную сессию в случае, если индекс фондовой биржи в определенный момент переходит ранее установленную величину от цены открытия. Приостановка означает, что торговля на определенный период времени останавливается и возобновляется позднее, иногда даже на следующий день. Аналогично приостановка может объявляться по отдельной акции.</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биржах обычно устанавливается минимально допустимое разовое изменение цены акции, шаг, в соответствии с которым участники торгов могут изменять котировки. Это изменение носит название тик.[23, </w:t>
      </w:r>
      <w:r>
        <w:rPr>
          <w:rFonts w:ascii="Times New Roman CYR" w:hAnsi="Times New Roman CYR" w:cs="Times New Roman CYR"/>
          <w:sz w:val="28"/>
          <w:szCs w:val="28"/>
          <w:lang w:val="en-US"/>
        </w:rPr>
        <w:t>c</w:t>
      </w:r>
      <w:r>
        <w:rPr>
          <w:rFonts w:ascii="Times New Roman CYR" w:hAnsi="Times New Roman CYR" w:cs="Times New Roman CYR"/>
          <w:sz w:val="28"/>
          <w:szCs w:val="28"/>
        </w:rPr>
        <w:t>.13]</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зависимости от спроса и предложения на биржевом рынке ЦБ на многих биржах существует определенная классификация тенденций состояния рынка по различным акциям. Информация о сложившейся тенденции определяется ежедневно по результатам торгов и публикуется в средствах массовой информации.</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пределах предторгового периода, ограниченного, предположим, 15 минутами до начала основной сессии, на основании сопоставления заявок на покупку и продажу определяется цена открытия. На первом этапе производится </w:t>
      </w:r>
      <w:r>
        <w:rPr>
          <w:rFonts w:ascii="Times New Roman CYR" w:hAnsi="Times New Roman CYR" w:cs="Times New Roman CYR"/>
          <w:sz w:val="28"/>
          <w:szCs w:val="28"/>
        </w:rPr>
        <w:lastRenderedPageBreak/>
        <w:t>сбор письменных предварительных заявок, которые поступают от клиентов к брокерам и затем передаются на биржу. Эти заявки фиксируются, в определенный момент специалист их сравнивает и рассчитывает такой курс ценных бумаг, при котором будет продано их наибольшее количество. В результате участники торгов получают определенный ориентир для проведения дальнейших сделок.</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течение послеторгового периода (длительность разная на разных биржах) участники могут подавать заявки и заключать сделки по цене периода закрытия, определяемой как средняя цена по последним сделкам дня или средневзвешенная за торговую сессию.</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Заключение сделки и ее оформление (регистрация) у соответствующих служб биржи, например маклера, между участниками торгов на бирже - это только первый этап биржевой операции купли-продажи ценных бумаг. В дальнейшем все сделки проходят этапы сверки, клиринга и исполнения. На этапе сверки участники проверяют все параметры заключенной сделки, их соответствие исходным условиям и устраняют возможные расхождения. Причиной таких расхождений и ошибок могут быть ошибки при заключении сделок в устной форме. Чаще всего сверку производит сама биржа на основании первичных документов, поступивших от участников торгов. Если участники торгов в момент заключения сделки подписывают договор в письменной форме, то этап сверки отсутствует. Сделки, по которым отсутствует этап сверки, называются зафиксированными.</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Следующий этап сделки - это проведение соответствующих расчетов и начисление соответствующих налогов и биржевого сбора, если это предусмотрено действующими нормами.</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передачи покупателю купленных ценных бумаг и перечисления денег продавцу применяется система взаимных зачетов встречных требований, что </w:t>
      </w:r>
      <w:r>
        <w:rPr>
          <w:rFonts w:ascii="Times New Roman CYR" w:hAnsi="Times New Roman CYR" w:cs="Times New Roman CYR"/>
          <w:sz w:val="28"/>
          <w:szCs w:val="28"/>
        </w:rPr>
        <w:lastRenderedPageBreak/>
        <w:t>позволяет существенно снизить количество платежей между участниками биржевых торгов. Эта процедура называется клирингом. При системе многостороннего клиринга расчетная палата или клиринговый банк определяет для каждого участника разность между всеми требованиями и всеми обязательствами по всем сделкам чаще всего за биржевой день (сальдо).</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Чаще всего поставщики ценных бумаг рассчитываются не между собой, а с клиринговым банком, который уже рассчитывается с каждым участником торгов.</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Последним этапом прохождения сделки на биржевом рынке является исполнение сделки - поставка купленных ценных бумаг покупателю и перевод денежных средств продавцу этих бумаг с учетом проведенного клиринга. Обычно на фондовых биржах действует правило «поставки против платежа». Для этого депозитарий, который обеспечивает ответственное хранение ценных бумаг своих клиентов, производит перерегистрацию права собственности и перемещает соответствующие сертификаты ценных бумаг на счет покупателей. Обычно указание на проведение этих операций депозитарию выдает клиринговая организация. Покупатель ценных бумаг получит приобретенные ценные бумаги только после их оплаты, а денежные средства поступят на счет продавца только после поставки ценных бумаг. Депозитарий исполняет сделку и выдает участникам торговли выписки со счетов о произведенных операциях. И только после этого сделка считается исполненной.</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отсутствии системы «поставки против платежа» существует риск того, что цены на рынке могут значительно упасть, и контрагент, получивший бумаги по предпоставке, откажется от сделки. Поставка против платежа - надежный механизм проведения расчетов и гарантия значительного снижения риска.[45, </w:t>
      </w:r>
      <w:r>
        <w:rPr>
          <w:rFonts w:ascii="Times New Roman CYR" w:hAnsi="Times New Roman CYR" w:cs="Times New Roman CYR"/>
          <w:sz w:val="28"/>
          <w:szCs w:val="28"/>
          <w:lang w:val="en-US"/>
        </w:rPr>
        <w:t>c</w:t>
      </w:r>
      <w:r>
        <w:rPr>
          <w:rFonts w:ascii="Times New Roman CYR" w:hAnsi="Times New Roman CYR" w:cs="Times New Roman CYR"/>
          <w:sz w:val="28"/>
          <w:szCs w:val="28"/>
        </w:rPr>
        <w:t>.234]</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Следует описать процедуру листинга. Листинг - это процедура включения </w:t>
      </w:r>
      <w:r>
        <w:rPr>
          <w:rFonts w:ascii="Times New Roman CYR" w:hAnsi="Times New Roman CYR" w:cs="Times New Roman CYR"/>
          <w:sz w:val="28"/>
          <w:szCs w:val="28"/>
        </w:rPr>
        <w:lastRenderedPageBreak/>
        <w:t>акций в котировочный список одной или нескольких бирж.</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фондовых биржах обращаются ценные бумаги корпораций, которые прошли специальную экспертизу, включены в биржевой или котировочный список (Listing) и допущены к торговле.</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Биржевой список - документ фондовой биржи, который содержит информацию относительно ценных бумаг и других финансовых инструментов, которые в конкретный момент времени на соответствующую дату допущены к торговле на фондовой бирже по категории листинговых ценных бумаг или по категории внелистинговых ценных бумаг и других финансовых инструментов. Биржевой реестр - составная часть биржевого списка, которая содержит информацию относительно листинговых ценных бумаг.</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Листинговые ценные бумаги - ценные бумаги, которые прошли процедуру листинга на фондовой бирже, внесены биржевой реестр как соответствующие требованиям определенного уровня листинга и правилами фондовой биржи. Листинговые ценные бумаги могут иметь первый или второй уровень листинга.[4]</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Ценные бумаги, которые прошли процедуру листинга, наносятся в соответствующий котировальный список биржевого реестра по уровню листинга. Внесение ценных бумаг в биржевой реестр производится только по инициативе эмитента этих ценных бумаг.</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биржах могут торговаться и внелистинговые ценные бумаги. Это бумаги, которые допущены к торговле на фондовой бирже, но не отвечают требованиям фондовой биржи для листинговых ценных бумаг. В дальнейшем они могут пройти листинг.[22]</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Биржевое соглашение - зафиксированное фондовой биржей одновременно принятое участниками биржевых торгов прав и обязательств относительно купли-продажи по соответствующим ценным бумагам или другим финансовым </w:t>
      </w:r>
      <w:r>
        <w:rPr>
          <w:rFonts w:ascii="Times New Roman CYR" w:hAnsi="Times New Roman CYR" w:cs="Times New Roman CYR"/>
          <w:sz w:val="28"/>
          <w:szCs w:val="28"/>
        </w:rPr>
        <w:lastRenderedPageBreak/>
        <w:t>инструментам, которые возникают при сопоставлении условий зарегистрированных фондовой биржей заявок на покупку с заявками на продажу этих участников торгов. Биржевой контракт - договор о выполнении биржевого соглашения по соответствующим ценным бумагам и другим финансовым инструментам, который заключается между участниками биржевых торгов.</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Существуют различные виды соглашений (сделок) на фондовых биржах в соответствии с правилами каждой биржи и законодательством (см. рис. 2.3):</w:t>
      </w:r>
    </w:p>
    <w:p w:rsidR="00CA7AE8" w:rsidRDefault="00CA7AE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CA7AE8" w:rsidRDefault="004C053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991100" cy="21564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91100" cy="215646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30480" cy="3048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 cy="30480"/>
                    </a:xfrm>
                    <a:prstGeom prst="rect">
                      <a:avLst/>
                    </a:prstGeom>
                    <a:noFill/>
                    <a:ln>
                      <a:noFill/>
                    </a:ln>
                  </pic:spPr>
                </pic:pic>
              </a:graphicData>
            </a:graphic>
          </wp:inline>
        </w:drawing>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Рис. 2.3 Виды сделок на фондовой бирже [31, </w:t>
      </w:r>
      <w:r>
        <w:rPr>
          <w:rFonts w:ascii="Times New Roman CYR" w:hAnsi="Times New Roman CYR" w:cs="Times New Roman CYR"/>
          <w:sz w:val="28"/>
          <w:szCs w:val="28"/>
          <w:lang w:val="en-US"/>
        </w:rPr>
        <w:t>c</w:t>
      </w:r>
      <w:r>
        <w:rPr>
          <w:rFonts w:ascii="Times New Roman CYR" w:hAnsi="Times New Roman CYR" w:cs="Times New Roman CYR"/>
          <w:sz w:val="28"/>
          <w:szCs w:val="28"/>
        </w:rPr>
        <w:t>.125]</w:t>
      </w:r>
    </w:p>
    <w:p w:rsidR="00CA7AE8" w:rsidRDefault="00CA7AE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Кассовые соглашения предусматривают обязательство продавца передать покупателю ЦБ, а покупатель обязуется их принять и оплатить соответствующую сумму. Расчеты должны быть выполнены не позднее четвертого рабочего дня, начиная со дня, который наступает после заключения соглашения. Некоторые биржи устанавливают другой срок расчета: от 1 до 5 рабочих дней, но рекомендуется три дня. Расчеты при операциях с государственными облигациями часто проводят значительно быстрее.</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сделки кассовые или спот характеризуются тем, что срок их заключения практически совпадает со сроком исполнения. В этот срок покупатель получает необходимый актив, а продавец - оговоренную сумму </w:t>
      </w:r>
      <w:r>
        <w:rPr>
          <w:rFonts w:ascii="Times New Roman CYR" w:hAnsi="Times New Roman CYR" w:cs="Times New Roman CYR"/>
          <w:sz w:val="28"/>
          <w:szCs w:val="28"/>
        </w:rPr>
        <w:lastRenderedPageBreak/>
        <w:t>денег. Риск отсутствия оплаты или недоставки бумаг по таким сделкам минимальный, тем более что существуют биржевые гарантии исполнения сделок.</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Срочные соглашения предусматривают куплю-продажу, т.е. передачу ЦБ против денег в срок, обозначенный в соглашении или в зависимости от установленного биржей для расчета по соглашениям, заключенным на указанный срок (первая декада месяца, вторая, третья, конкретный месяц). Наиболее распространенными сроками исполнения срочных сделок являются 60 или 90 дней со дня заключения. [31, </w:t>
      </w:r>
      <w:r>
        <w:rPr>
          <w:rFonts w:ascii="Times New Roman CYR" w:hAnsi="Times New Roman CYR" w:cs="Times New Roman CYR"/>
          <w:sz w:val="28"/>
          <w:szCs w:val="28"/>
          <w:lang w:val="en-US"/>
        </w:rPr>
        <w:t>c</w:t>
      </w:r>
      <w:r>
        <w:rPr>
          <w:rFonts w:ascii="Times New Roman CYR" w:hAnsi="Times New Roman CYR" w:cs="Times New Roman CYR"/>
          <w:sz w:val="28"/>
          <w:szCs w:val="28"/>
        </w:rPr>
        <w:t>.127]</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Они бывают следующих видов:</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Твердые сделки - сделки, обязательные к исполнению в установленный срок по твердой цене. Они заключаются на разный объем ценных бумаг и срок исходя из реальных потребностей контрагентов.</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Фьючерсные и опционные сделки - это сделки с производными ценными бумагами: фьючерсами и опционами.</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Пролонгированные сделки используют биржевые спекулянты, если конъюнктура рынка не соответствует их планам, и они переносят срок выполнения кассовой операции. Поэтому такие сделки являются сочетанием кассовой и срочной биржевой и внебиржевых соглашений.</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правилах торговли, которые разрабатываются каждой биржей, обязательно учитываются виды сделок, которые могут на ней осуществляться. С развитием биржевой торговли, их состав может меняться. Технический прогресс, развитие биржевого дела не изменили основу организации биржевой торговли - строгое требование, чтобы сделки совершались только в определенном месте - биржевом зале. Большое внимание уделяется правильному расположению и техническому оснащению биржи. Считается, что это в значительной степени определяет объем проведенных сделок купли-продажи, величину накладных </w:t>
      </w:r>
      <w:r>
        <w:rPr>
          <w:rFonts w:ascii="Times New Roman CYR" w:hAnsi="Times New Roman CYR" w:cs="Times New Roman CYR"/>
          <w:sz w:val="28"/>
          <w:szCs w:val="28"/>
        </w:rPr>
        <w:lastRenderedPageBreak/>
        <w:t xml:space="preserve">расходов и, в конечном итоге, конкурентоспособность биржи как формы торговли.[6, </w:t>
      </w:r>
      <w:r>
        <w:rPr>
          <w:rFonts w:ascii="Times New Roman CYR" w:hAnsi="Times New Roman CYR" w:cs="Times New Roman CYR"/>
          <w:sz w:val="28"/>
          <w:szCs w:val="28"/>
          <w:lang w:val="en-US"/>
        </w:rPr>
        <w:t>c</w:t>
      </w:r>
      <w:r>
        <w:rPr>
          <w:rFonts w:ascii="Times New Roman CYR" w:hAnsi="Times New Roman CYR" w:cs="Times New Roman CYR"/>
          <w:sz w:val="28"/>
          <w:szCs w:val="28"/>
        </w:rPr>
        <w:t>.204]</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Ниже приведен порядок заключения сделок на фондовой бирже (рис.2.4).</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sidR="004C0537">
        <w:rPr>
          <w:rFonts w:ascii="Microsoft Sans Serif" w:hAnsi="Microsoft Sans Serif" w:cs="Microsoft Sans Serif"/>
          <w:noProof/>
          <w:sz w:val="17"/>
          <w:szCs w:val="17"/>
        </w:rPr>
        <w:lastRenderedPageBreak/>
        <w:drawing>
          <wp:inline distT="0" distB="0" distL="0" distR="0">
            <wp:extent cx="4770120" cy="57150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70120" cy="5715000"/>
                    </a:xfrm>
                    <a:prstGeom prst="rect">
                      <a:avLst/>
                    </a:prstGeom>
                    <a:noFill/>
                    <a:ln>
                      <a:noFill/>
                    </a:ln>
                  </pic:spPr>
                </pic:pic>
              </a:graphicData>
            </a:graphic>
          </wp:inline>
        </w:drawing>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Calibri" w:hAnsi="Calibri" w:cs="Calibri"/>
          <w:sz w:val="28"/>
          <w:szCs w:val="28"/>
        </w:rPr>
      </w:pPr>
      <w:r>
        <w:rPr>
          <w:rFonts w:ascii="Times New Roman CYR" w:hAnsi="Times New Roman CYR" w:cs="Times New Roman CYR"/>
          <w:sz w:val="28"/>
          <w:szCs w:val="28"/>
        </w:rPr>
        <w:t>Рис. 2.4. Порядок заключения сделок на фондовой бирже [31, c.130]</w:t>
      </w:r>
    </w:p>
    <w:p w:rsidR="00CA7AE8" w:rsidRDefault="00CA7AE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Различают несколько видов счетов клиентов.</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соответствии с мировой практикой существует два основных вида счетов клиентов, которые ими открываются у торговца ценными бумагами для регулярных операций с различными бумагами.</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наличному счету все сделки оплачиваются клиентом брокеру в расчетный день или до расчетного дня. Часто брокер требует внести аванс для </w:t>
      </w:r>
      <w:r>
        <w:rPr>
          <w:rFonts w:ascii="Times New Roman CYR" w:hAnsi="Times New Roman CYR" w:cs="Times New Roman CYR"/>
          <w:sz w:val="28"/>
          <w:szCs w:val="28"/>
        </w:rPr>
        <w:lastRenderedPageBreak/>
        <w:t>проведения операции или открыть у него счет типа текущего. При этом сертификат акций поставляется клиенту против платежа после совершения сделки или выдается после регистрации на имя нового владельца.</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Маржинальный счет. При этом компания, торговец ценными бумагами, выделяет клиенту соответствующий кредит для проведения операций с ценными бумагами и чаще всего на следующих условиях:</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компании передаются в залог купленные ценные бумаги в качестве обеспечения ссуды;</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компания имеет право перезалога данных ценных бумаг в банке для получения кредита;</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за кредиты с клиента ежемесячно взимаются проценты;</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счет должен иметь маржинальное соглашение или контракт, в котором перечисляются условия и правила проведения операций по марже;</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клиент должен внести торговцу первоначальную маржу [6, </w:t>
      </w:r>
      <w:r>
        <w:rPr>
          <w:rFonts w:ascii="Times New Roman CYR" w:hAnsi="Times New Roman CYR" w:cs="Times New Roman CYR"/>
          <w:sz w:val="28"/>
          <w:szCs w:val="28"/>
          <w:lang w:val="en-US"/>
        </w:rPr>
        <w:t>c</w:t>
      </w:r>
      <w:r>
        <w:rPr>
          <w:rFonts w:ascii="Times New Roman CYR" w:hAnsi="Times New Roman CYR" w:cs="Times New Roman CYR"/>
          <w:sz w:val="28"/>
          <w:szCs w:val="28"/>
        </w:rPr>
        <w:t>.212]</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Вся история биржевой торговли демонстрирует стремление этого организованного рынка к совершенствованию с целью привлечения дополнительного количества клиентов. За время существования бирж неоднократно улучшались правила торговли и клиринга, прилагаемые усилия для ускорения расчетов и исполнения сделок. Поэтому естественно, что появление компьютерных технологий сразу же привлекла внимание биржевиков.</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Ранее практика использования компьютерной техники ограничивалось демонстрацией биржевых цен на табло в торговом зале и системой электронной передачи информации между биржей и другим рынком. Однако технические возможности компьютерных технологий оказались огромными, поставили биржи не только перед выбором различных систем автоматизированного учета операций, но и перед возможностью перехода на новый способ заключения биржевых сделок - электронную торговлю.</w:t>
      </w:r>
    </w:p>
    <w:p w:rsidR="00CA7AE8" w:rsidRDefault="00CA7AE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2.2 Биржевые фондовые индексы и рейтинги</w:t>
      </w:r>
    </w:p>
    <w:p w:rsidR="00CA7AE8" w:rsidRDefault="00CA7AE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Фондовые индексы - это своего рода измерительный инструмент, позволяющий инвестору получить представление о состоянии фондового рынка в целом. Инвесторы, глядя именно на поведение индексов, осуществляют инвестиции. Способы построения индексов различны, поэтому одновременно могут существовать несколько разных индексов одного и того же рынка. Главенствующее положение среди фондовых индексов занимают индексы США, т.к. они имеют существенное влияние на все мировые фондовые и финансовые рынки. Украинские фондовые индексы начали распространяться в начале 1997 года.</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того чтобы количественно определить состояние фондового рынка отдельно взятой страны были введены специальные показатели - фондовые индексы. На каждой фондовой площадке используются свои фондовые индексы, которые характеризуют состояние фондового рынка своей страны. Значение фондовых индексов рассчитывается на основании стоимости акций компаний (в определенной пропорции), входящих в расчетную базу индекса. Несмотря на то, что существует многообразие фондовых индексов, на каждой торговой площадке принято выделять лишь наиболее важные, которые наиболее приближенно отражают состояние фондового рынка и экономики своей страны.</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Первый фондовый индекс был разработан 3 июля 1884 в США журналистом газеты Wall Street Journal, известным финансистом, основателем компании Dow Jones &amp; Company Чарльзом Доу. Индекс Доу-Джонса является старейшим среди существующих американских рыночных индексов. Этот индекс был создан для отслеживания развития промышленной составляющей американских фондовых рынков. Индекс Dow Jones Transportation Average рассчитывался по 11 крупнейшим транспортным компаниям США. На </w:t>
      </w:r>
      <w:r>
        <w:rPr>
          <w:rFonts w:ascii="Times New Roman CYR" w:hAnsi="Times New Roman CYR" w:cs="Times New Roman CYR"/>
          <w:sz w:val="28"/>
          <w:szCs w:val="28"/>
        </w:rPr>
        <w:lastRenderedPageBreak/>
        <w:t>сегодняшний день в него входят 20 компаний грузоперевозчиков. Однако наибольшую известность получил Dow Jones Industrial Average (DJIA), рассчитываемый по 30 крупнейшим компаниям промышленности c 1928 года. [3, с.85]</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Фондовый индекс - составной показатель изменения цен определённой группы ценных бумаг - «индексной корзины». Как правило, абсолютные значения индексов не важны. Большее значение имеют изменения индекса с течением времени, поскольку они позволяют судить об общем направлении движения рынка, даже в тех случаях, когда цены акций внутри «индексной корзины» изменяются разнонаправлено. В зависимости от выборки показателей, фондовый индекс может отражать поведение какой-то группы ценных бумаг (или других активов) или рынка (сектора рынка) в целом.</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Зачастую фондовые индексы являются основой одноимённых производных финансовых инструментов, которые используются для инвестиционных и спекулятивных целей. [1, с.174]</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Роль фондовых индексов выражается в функциях, которые они выполняют (рис. 2.5).</w:t>
      </w:r>
    </w:p>
    <w:p w:rsidR="00CA7AE8" w:rsidRDefault="00CA7AE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CA7AE8" w:rsidRDefault="004C053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785360" cy="159258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85360" cy="1592580"/>
                    </a:xfrm>
                    <a:prstGeom prst="rect">
                      <a:avLst/>
                    </a:prstGeom>
                    <a:noFill/>
                    <a:ln>
                      <a:noFill/>
                    </a:ln>
                  </pic:spPr>
                </pic:pic>
              </a:graphicData>
            </a:graphic>
          </wp:inline>
        </w:drawing>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2.5. Функции фондовых индексов (построено на основе данных источника [5])</w:t>
      </w:r>
    </w:p>
    <w:p w:rsidR="00CA7AE8" w:rsidRDefault="00CA7AE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диагностическая - способность системы индексов характеризовать </w:t>
      </w:r>
      <w:r>
        <w:rPr>
          <w:rFonts w:ascii="Times New Roman CYR" w:hAnsi="Times New Roman CYR" w:cs="Times New Roman CYR"/>
          <w:sz w:val="28"/>
          <w:szCs w:val="28"/>
        </w:rPr>
        <w:lastRenderedPageBreak/>
        <w:t>состояние и динамику развития как национальной экономики в целом, так и отдельных ее составляющих. Механизм изменения индекса прост - рост или снижение рентабельности производства в отрасли мгновенно отображается на котировочной цене соответствующих акций, что, в свою очередь, сказывается на уровне биржевого индекса отрасли.</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Индексы является средством демонстрации темпа продвижения рынка. Они позволяют инвесторам и торговцам видеть тенденции, которые складываются на рынке, и прослеживать скорость развития этих тенденций.</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Индексы дополняются специальными экономическими параметрами: нормой ссудного процента; состоянием государственного бюджета; соотношением торгового и валютного балансов и входят в систему экологического мониторинга состояния национальной экономики, поэтому индексы часто называют индексами деловой активности;</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индикативная - предполагает наличие объективной оценки ценовой ситуации на фондовом рынке, которая помогает:</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Эффективно провести анализ и спрогнозировать как краткосрочные, так и долгосрочные изменения на рынке ценных бумаг;</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Выбрать инвестиционные стратегии для крупных институциональных инвесторов - пенсионных фондов, страховых и инвестиционных компаний;</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Стать ориентиром при оценке эффективности управления портфелем ценных бумаг - рассчитав динамику рыночной стоимости своего портфеля акций за любой промежуток времени, инвестор может сделать обоснованные выводы, насколько выбранная им стратегия является эффективной (портфельный индекс выше, ниже фондового или равен ему) и внести коррективы в свое поведение на рынке, если это необходимо;</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спекулятивная - проявляется в использовании индексов, как базового актива, при заключении фьючерсных контрактов и покупки опционов. Чтобы </w:t>
      </w:r>
      <w:r>
        <w:rPr>
          <w:rFonts w:ascii="Times New Roman CYR" w:hAnsi="Times New Roman CYR" w:cs="Times New Roman CYR"/>
          <w:sz w:val="28"/>
          <w:szCs w:val="28"/>
        </w:rPr>
        <w:lastRenderedPageBreak/>
        <w:t>спекулировать на таком рынке, можно вообще не владеть ценными бумагами, заключая срочные сделки при изменении значения индекса в течение дня или иного краткосрочного периода.</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территориальному признаку фондовые индексы разделяют на:</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Интернациональные - характеризуют состояние мирового финансового рынка или его определенные географические секторы (Европу, Северную Америку, Дальний Восток и др.);</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Национальные - отражают активность национального рынка акций;</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Секторные - отражают состояние определенного внутреннего рынка, например, рынка акций, котирующихся на определенной бирже;</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Субсекторные - характеризуют активность в определенной отрасли экономики.</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Среди наибольших групп индексов можно назвать национальные (общерыночные) и субсекторные (отраслевые) индексы.[41, </w:t>
      </w:r>
      <w:r>
        <w:rPr>
          <w:rFonts w:ascii="Times New Roman CYR" w:hAnsi="Times New Roman CYR" w:cs="Times New Roman CYR"/>
          <w:sz w:val="28"/>
          <w:szCs w:val="28"/>
          <w:lang w:val="en-US"/>
        </w:rPr>
        <w:t>c</w:t>
      </w:r>
      <w:r>
        <w:rPr>
          <w:rFonts w:ascii="Times New Roman CYR" w:hAnsi="Times New Roman CYR" w:cs="Times New Roman CYR"/>
          <w:sz w:val="28"/>
          <w:szCs w:val="28"/>
        </w:rPr>
        <w:t>. 54]</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статистической практике используются фондовые индексы, которые применяются для характеристики ситуации на рынке ценных бумаг. При продаже и покупке акций на фондовых биржах они являются основными показателями, которые определяют активность фондового рынка. Регистрация курсов ценных бумаг и публикация их в курсовом бюллетене является одной из функций биржи. Публичность курсов облегчает эмитентам ценных бумаг решение вопросов условий и целесообразности новых выпусков, дает возможность владельцам бумаг быстрее ориентироваться в конъюнктуре фондового рынка. Кроме публикации средних курсов каждого вида ценных бумаг, которые имеют обращение на бирже, высчитываются и публикуются средние курсы акций определенных групп компаний, а также всех компаний, зарегистрированных на бирже. Среди этих показателей самыми известными являются: на бирже в Нью-Йорке - индекс Доу-Джонса, в Токио - индекс Nikkei, в </w:t>
      </w:r>
      <w:r>
        <w:rPr>
          <w:rFonts w:ascii="Times New Roman CYR" w:hAnsi="Times New Roman CYR" w:cs="Times New Roman CYR"/>
          <w:sz w:val="28"/>
          <w:szCs w:val="28"/>
        </w:rPr>
        <w:lastRenderedPageBreak/>
        <w:t>Франкфурт-на-Майне - индекс ФАЦ, в Лондоне - "Файненшл Таймс" и "Рейтер".</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Большинство фондовых индексов характеризует среднюю цену отдельного набора акций. При построении индекса Доу-Джонса и ряда других фондовых индексов применяется принцип равновесия акций вне зависимости от их числа и стоимости. Такие индексы являются простым средним арифметическим, т.е. это доля от деления суммы цен акций компаний, которые рассматриваются, на их количество. В некоторых индексах используется взвешивание курсов акций разнообразных по тем или иным принципам. Для характеристики динамики цен акций используют разность индексов за два периода (текущий и базисный) в пунктах, а также темпы их роста - отношение индекса текущего периода к индексу базисного. [5, с.140]</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Идеальный фондовый индекс должен отвечать следующим основным целям, оправдывающим ожидания его пользователей:</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точно и своевременно отражать ситуацию на всем, индицируемом им рынке в целом;</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быть хорошим инструментом для прогнозирования направления движения рынка, удобным средством для предсказания ситуации при помощи инструментов технического анализа;</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давать ответ крупным инвесторам, которые производят значительные стратегические инвестиции на различных рынках, на какой из них делать ставку;</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служить инструментом для фьючерсных и опционных контрактов с целью хеджирования рисков, как по рынку, так и по отдельным его показателям (например, по процентным ставкам);</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служить базой для создания оптимального портфеля в категориях «надежность» - «доходность»;</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 xml:space="preserve">показывать базовую минимальную величину дохода, который </w:t>
      </w:r>
      <w:r>
        <w:rPr>
          <w:rFonts w:ascii="Times New Roman CYR" w:hAnsi="Times New Roman CYR" w:cs="Times New Roman CYR"/>
          <w:sz w:val="28"/>
          <w:szCs w:val="28"/>
        </w:rPr>
        <w:lastRenderedPageBreak/>
        <w:t>должен получить трейдер (управляющий портфелем и т.д.), работающий на характеризуемом индексом наборе фондовых ценностей либо на аналогичном рынке;</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служить инструментом оценки качества работы конкретных управляющих компаний по сравнению со среднеотраслевыми значениями и рынком в целом;</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характеризовать деятельность регулирующих органов на рынке (в стране), на котором обращаются (где эмитированы) приведенные в портфеле индекса инструменты, отражать экономическую ситуацию и инвестиционный климат. [2, с.95]</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Различают несколько методов расчёта фондовых индексов:</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Необходимо отметить, что не все индексы используются в качестве базисного актива для производных финансовых инструментов. В частности, компания «Dow Jones &amp; С°» запрещает использовать промышленный индекс Доу Джонса в качестве основы для фьючерсов и опционов.</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подходы, которые используются для расчета фондовых индексов.</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Невзвешенный среднеарифметический индекс. Этот индекс рассчитывается по формуле []:</w:t>
      </w:r>
    </w:p>
    <w:p w:rsidR="00CA7AE8" w:rsidRDefault="00CA7AE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CA7AE8" w:rsidRDefault="004C053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52400"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00054328">
        <w:rPr>
          <w:rFonts w:ascii="Times New Roman CYR" w:hAnsi="Times New Roman CYR" w:cs="Times New Roman CYR"/>
          <w:sz w:val="28"/>
          <w:szCs w:val="28"/>
        </w:rPr>
        <w:t xml:space="preserve">= </w:t>
      </w:r>
      <w:r>
        <w:rPr>
          <w:rFonts w:ascii="Microsoft Sans Serif" w:hAnsi="Microsoft Sans Serif" w:cs="Microsoft Sans Serif"/>
          <w:noProof/>
          <w:sz w:val="17"/>
          <w:szCs w:val="17"/>
        </w:rPr>
        <w:drawing>
          <wp:inline distT="0" distB="0" distL="0" distR="0">
            <wp:extent cx="152400" cy="42672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 cy="42672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426720" cy="44196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6720" cy="441960"/>
                    </a:xfrm>
                    <a:prstGeom prst="rect">
                      <a:avLst/>
                    </a:prstGeom>
                    <a:noFill/>
                    <a:ln>
                      <a:noFill/>
                    </a:ln>
                  </pic:spPr>
                </pic:pic>
              </a:graphicData>
            </a:graphic>
          </wp:inline>
        </w:drawing>
      </w:r>
      <w:r w:rsidR="00054328">
        <w:rPr>
          <w:rFonts w:ascii="Times New Roman CYR" w:hAnsi="Times New Roman CYR" w:cs="Times New Roman CYR"/>
          <w:sz w:val="28"/>
          <w:szCs w:val="28"/>
        </w:rPr>
        <w:t xml:space="preserve"> (2.1)</w:t>
      </w:r>
    </w:p>
    <w:p w:rsidR="00CA7AE8" w:rsidRDefault="00CA7AE8">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CA7AE8" w:rsidRDefault="000543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где</w:t>
      </w:r>
    </w:p>
    <w:p w:rsidR="00CA7AE8" w:rsidRDefault="004C053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52400" cy="2286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00054328">
        <w:rPr>
          <w:rFonts w:ascii="Times New Roman CYR" w:hAnsi="Times New Roman CYR" w:cs="Times New Roman CYR"/>
          <w:sz w:val="28"/>
          <w:szCs w:val="28"/>
        </w:rPr>
        <w:t>- значение фондового индекса на момент времени t;,t - курсовая стоимость акции j-й компании, ценные бумаги которой используются при расчете фондового индекса, на момент времени t;общее число компаний, акции которых используются при расчете фондового индекса;</w:t>
      </w:r>
    </w:p>
    <w:p w:rsidR="00CA7AE8" w:rsidRDefault="000543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Symbol" w:hAnsi="Symbol" w:cs="Symbol"/>
          <w:sz w:val="28"/>
          <w:szCs w:val="28"/>
        </w:rPr>
        <w:t></w:t>
      </w:r>
      <w:r>
        <w:rPr>
          <w:rFonts w:ascii="Times New Roman CYR" w:hAnsi="Times New Roman CYR" w:cs="Times New Roman CYR"/>
          <w:sz w:val="28"/>
          <w:szCs w:val="28"/>
        </w:rPr>
        <w:t xml:space="preserve"> - согласующий коэффициент.</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Эта формула используется для расчета промышленного среднего индекса Доу Джонса.</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Взвешенный среднеарифметический индекс. Формулы для расчета индекса в этом случае различаются методикой взвешивания.</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Индекс, взвешенный по цене акций в выборке, имеет вид []:</w:t>
      </w:r>
    </w:p>
    <w:p w:rsidR="00CA7AE8" w:rsidRDefault="000543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br w:type="page"/>
      </w:r>
      <w:r w:rsidR="004C0537">
        <w:rPr>
          <w:rFonts w:ascii="Microsoft Sans Serif" w:hAnsi="Microsoft Sans Serif" w:cs="Microsoft Sans Serif"/>
          <w:noProof/>
          <w:sz w:val="17"/>
          <w:szCs w:val="17"/>
        </w:rPr>
        <w:lastRenderedPageBreak/>
        <w:drawing>
          <wp:inline distT="0" distB="0" distL="0" distR="0">
            <wp:extent cx="152400" cy="2286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Pr>
          <w:rFonts w:ascii="Times New Roman CYR" w:hAnsi="Times New Roman CYR" w:cs="Times New Roman CYR"/>
          <w:sz w:val="28"/>
          <w:szCs w:val="28"/>
        </w:rPr>
        <w:t>=</w:t>
      </w:r>
      <w:r w:rsidR="004C0537">
        <w:rPr>
          <w:rFonts w:ascii="Microsoft Sans Serif" w:hAnsi="Microsoft Sans Serif" w:cs="Microsoft Sans Serif"/>
          <w:noProof/>
          <w:sz w:val="17"/>
          <w:szCs w:val="17"/>
        </w:rPr>
        <w:drawing>
          <wp:inline distT="0" distB="0" distL="0" distR="0">
            <wp:extent cx="586740" cy="883920"/>
            <wp:effectExtent l="0" t="0" r="38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6740" cy="883920"/>
                    </a:xfrm>
                    <a:prstGeom prst="rect">
                      <a:avLst/>
                    </a:prstGeom>
                    <a:noFill/>
                    <a:ln>
                      <a:noFill/>
                    </a:ln>
                  </pic:spPr>
                </pic:pic>
              </a:graphicData>
            </a:graphic>
          </wp:inline>
        </w:drawing>
      </w:r>
      <w:r>
        <w:rPr>
          <w:rFonts w:ascii="Times New Roman CYR" w:hAnsi="Times New Roman CYR" w:cs="Times New Roman CYR"/>
          <w:sz w:val="28"/>
          <w:szCs w:val="28"/>
        </w:rPr>
        <w:t xml:space="preserve"> (2.2)</w:t>
      </w:r>
    </w:p>
    <w:p w:rsidR="00CA7AE8" w:rsidRDefault="00CA7AE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Pj,0 - курсовая стоимость акции j-й компании, ценные бумаги которой используются при расчете фондового индекса, в начальный момент времени;</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Times New Roman CYR" w:hAnsi="Times New Roman CYR" w:cs="Times New Roman CYR"/>
          <w:sz w:val="28"/>
          <w:szCs w:val="28"/>
        </w:rPr>
        <w:t xml:space="preserve"> - базовое значение индекса на начальный момент времени.</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Индекс, взвешенный по стоимости выборки, рассчитывается по формуле []:</w:t>
      </w:r>
    </w:p>
    <w:p w:rsidR="00CA7AE8" w:rsidRDefault="00CA7AE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CA7AE8" w:rsidRDefault="004C053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52400" cy="2286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00054328">
        <w:rPr>
          <w:rFonts w:ascii="Times New Roman CYR" w:hAnsi="Times New Roman CYR" w:cs="Times New Roman CYR"/>
          <w:sz w:val="28"/>
          <w:szCs w:val="28"/>
        </w:rPr>
        <w:t>=</w:t>
      </w:r>
      <w:r>
        <w:rPr>
          <w:rFonts w:ascii="Microsoft Sans Serif" w:hAnsi="Microsoft Sans Serif" w:cs="Microsoft Sans Serif"/>
          <w:noProof/>
          <w:sz w:val="17"/>
          <w:szCs w:val="17"/>
        </w:rPr>
        <w:drawing>
          <wp:inline distT="0" distB="0" distL="0" distR="0">
            <wp:extent cx="784860" cy="88392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84860" cy="883920"/>
                    </a:xfrm>
                    <a:prstGeom prst="rect">
                      <a:avLst/>
                    </a:prstGeom>
                    <a:noFill/>
                    <a:ln>
                      <a:noFill/>
                    </a:ln>
                  </pic:spPr>
                </pic:pic>
              </a:graphicData>
            </a:graphic>
          </wp:inline>
        </w:drawing>
      </w:r>
      <w:r w:rsidR="00054328">
        <w:rPr>
          <w:rFonts w:ascii="Times New Roman CYR" w:hAnsi="Times New Roman CYR" w:cs="Times New Roman CYR"/>
          <w:sz w:val="28"/>
          <w:szCs w:val="28"/>
        </w:rPr>
        <w:t xml:space="preserve"> (2.3)</w:t>
      </w:r>
    </w:p>
    <w:p w:rsidR="00CA7AE8" w:rsidRDefault="00CA7AE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nj,t и nj,0 - количество акций j-й компании, ценные бумаги которой используются для расчета индекса на момент времени t (t=0 на начальный момент времени).</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результате такого подхода к расчету индекса изменение цен на акции более крупных корпораций будет, как правило, оказывать большее влияние на значение индекса, чем колебания стоимости ценных бумаг мелких компаний. Данная формула используется для вычисления индекса S&amp;P-500, причем в качестве начального момента времени берется интервал с 1941 по 1943 г., а базовое значение индекса принято равным 10.</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Индекс, взвешенный путем приравнивания весов акций компаний, рассчитывается по формуле []:</w:t>
      </w:r>
    </w:p>
    <w:p w:rsidR="00CA7AE8" w:rsidRDefault="00CA7AE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CA7AE8" w:rsidRDefault="000543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br w:type="page"/>
      </w:r>
      <w:r w:rsidR="004C0537">
        <w:rPr>
          <w:rFonts w:ascii="Microsoft Sans Serif" w:hAnsi="Microsoft Sans Serif" w:cs="Microsoft Sans Serif"/>
          <w:noProof/>
          <w:sz w:val="17"/>
          <w:szCs w:val="17"/>
        </w:rPr>
        <w:lastRenderedPageBreak/>
        <w:drawing>
          <wp:inline distT="0" distB="0" distL="0" distR="0">
            <wp:extent cx="152400" cy="2286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Pr>
          <w:rFonts w:ascii="Times New Roman CYR" w:hAnsi="Times New Roman CYR" w:cs="Times New Roman CYR"/>
          <w:sz w:val="28"/>
          <w:szCs w:val="28"/>
        </w:rPr>
        <w:t>=</w:t>
      </w:r>
      <w:r w:rsidR="004C0537">
        <w:rPr>
          <w:rFonts w:ascii="Microsoft Sans Serif" w:hAnsi="Microsoft Sans Serif" w:cs="Microsoft Sans Serif"/>
          <w:noProof/>
          <w:sz w:val="17"/>
          <w:szCs w:val="17"/>
        </w:rPr>
        <w:drawing>
          <wp:inline distT="0" distB="0" distL="0" distR="0">
            <wp:extent cx="1348740" cy="9144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48740" cy="914400"/>
                    </a:xfrm>
                    <a:prstGeom prst="rect">
                      <a:avLst/>
                    </a:prstGeom>
                    <a:noFill/>
                    <a:ln>
                      <a:noFill/>
                    </a:ln>
                  </pic:spPr>
                </pic:pic>
              </a:graphicData>
            </a:graphic>
          </wp:inline>
        </w:drawing>
      </w:r>
      <w:r>
        <w:rPr>
          <w:rFonts w:ascii="Times New Roman CYR" w:hAnsi="Times New Roman CYR" w:cs="Times New Roman CYR"/>
          <w:sz w:val="28"/>
          <w:szCs w:val="28"/>
        </w:rPr>
        <w:t xml:space="preserve"> (2.4)</w:t>
      </w:r>
    </w:p>
    <w:p w:rsidR="00CA7AE8" w:rsidRDefault="00CA7AE8">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CA7AE8" w:rsidRDefault="000543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Невзвешенный среднегеометрический индекс. Этот индекс рассчитывается по формуле []:</w:t>
      </w:r>
    </w:p>
    <w:p w:rsidR="00CA7AE8" w:rsidRDefault="00CA7AE8">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CA7AE8" w:rsidRDefault="004C053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52400" cy="2286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00054328">
        <w:rPr>
          <w:rFonts w:ascii="Times New Roman CYR" w:hAnsi="Times New Roman CYR" w:cs="Times New Roman CYR"/>
          <w:sz w:val="28"/>
          <w:szCs w:val="28"/>
        </w:rPr>
        <w:t xml:space="preserve">= </w:t>
      </w:r>
      <w:r>
        <w:rPr>
          <w:rFonts w:ascii="Microsoft Sans Serif" w:hAnsi="Microsoft Sans Serif" w:cs="Microsoft Sans Serif"/>
          <w:noProof/>
          <w:sz w:val="17"/>
          <w:szCs w:val="17"/>
        </w:rPr>
        <w:drawing>
          <wp:inline distT="0" distB="0" distL="0" distR="0">
            <wp:extent cx="556260" cy="50292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6260" cy="502920"/>
                    </a:xfrm>
                    <a:prstGeom prst="rect">
                      <a:avLst/>
                    </a:prstGeom>
                    <a:noFill/>
                    <a:ln>
                      <a:noFill/>
                    </a:ln>
                  </pic:spPr>
                </pic:pic>
              </a:graphicData>
            </a:graphic>
          </wp:inline>
        </w:drawing>
      </w:r>
      <w:r w:rsidR="00054328">
        <w:rPr>
          <w:rFonts w:ascii="Times New Roman CYR" w:hAnsi="Times New Roman CYR" w:cs="Times New Roman CYR"/>
          <w:sz w:val="28"/>
          <w:szCs w:val="28"/>
        </w:rPr>
        <w:t>.(2.5)</w:t>
      </w:r>
    </w:p>
    <w:p w:rsidR="00CA7AE8" w:rsidRDefault="00CA7AE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этой формуле рассчитывается старейший из используемых в настоящее время фондовых индексов Великобритании - индекс ФТ-30 (FT-30 Share Index, Financial Times Industrial Ordinary Index), который стал публиковаться с 1935 г.</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Взвешенный среднегеометрический индекс рассчитывается по формуле</w:t>
      </w:r>
    </w:p>
    <w:p w:rsidR="00CA7AE8" w:rsidRDefault="00CA7AE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CA7AE8" w:rsidRDefault="004C053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44780" cy="228600"/>
            <wp:effectExtent l="0" t="0" r="762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4780" cy="228600"/>
                    </a:xfrm>
                    <a:prstGeom prst="rect">
                      <a:avLst/>
                    </a:prstGeom>
                    <a:noFill/>
                    <a:ln>
                      <a:noFill/>
                    </a:ln>
                  </pic:spPr>
                </pic:pic>
              </a:graphicData>
            </a:graphic>
          </wp:inline>
        </w:drawing>
      </w:r>
      <w:r w:rsidR="00054328">
        <w:rPr>
          <w:rFonts w:ascii="Times New Roman CYR" w:hAnsi="Times New Roman CYR" w:cs="Times New Roman CYR"/>
          <w:sz w:val="28"/>
          <w:szCs w:val="28"/>
        </w:rPr>
        <w:t xml:space="preserve">= </w:t>
      </w:r>
      <w:r>
        <w:rPr>
          <w:rFonts w:ascii="Microsoft Sans Serif" w:hAnsi="Microsoft Sans Serif" w:cs="Microsoft Sans Serif"/>
          <w:noProof/>
          <w:sz w:val="17"/>
          <w:szCs w:val="17"/>
        </w:rPr>
        <w:drawing>
          <wp:inline distT="0" distB="0" distL="0" distR="0">
            <wp:extent cx="670560" cy="51816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0560" cy="518160"/>
                    </a:xfrm>
                    <a:prstGeom prst="rect">
                      <a:avLst/>
                    </a:prstGeom>
                    <a:noFill/>
                    <a:ln>
                      <a:noFill/>
                    </a:ln>
                  </pic:spPr>
                </pic:pic>
              </a:graphicData>
            </a:graphic>
          </wp:inline>
        </w:drawing>
      </w:r>
      <w:r w:rsidR="00054328">
        <w:rPr>
          <w:rFonts w:ascii="Times New Roman CYR" w:hAnsi="Times New Roman CYR" w:cs="Times New Roman CYR"/>
          <w:sz w:val="28"/>
          <w:szCs w:val="28"/>
        </w:rPr>
        <w:t>, (2.6)</w:t>
      </w:r>
    </w:p>
    <w:p w:rsidR="00CA7AE8" w:rsidRDefault="00CA7AE8">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где Pj,t-1 - курсовая стоимость акции j-й компании, ценные бумаги которой используются при расчете фондового индекса, зафиксированная в предыдущий торговый день. [41, </w:t>
      </w:r>
      <w:r>
        <w:rPr>
          <w:rFonts w:ascii="Times New Roman CYR" w:hAnsi="Times New Roman CYR" w:cs="Times New Roman CYR"/>
          <w:sz w:val="28"/>
          <w:szCs w:val="28"/>
          <w:lang w:val="en-US"/>
        </w:rPr>
        <w:t>c</w:t>
      </w:r>
      <w:r>
        <w:rPr>
          <w:rFonts w:ascii="Times New Roman CYR" w:hAnsi="Times New Roman CYR" w:cs="Times New Roman CYR"/>
          <w:sz w:val="28"/>
          <w:szCs w:val="28"/>
        </w:rPr>
        <w:t>.142]</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Некоторые фондовые индексы рассчитываются как индексы суммарного дохода на капитал. При этом предполагается, что полученный в виде дивидендов доход немедленно реинвестируется в акции. Примером такого индекса является DAX - самый важный фондовый индекс Германии. [12]</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Украине рассчитывают индекс ПФТС («PFTS Index») и индекс </w:t>
      </w:r>
      <w:r>
        <w:rPr>
          <w:rFonts w:ascii="Times New Roman CYR" w:hAnsi="Times New Roman CYR" w:cs="Times New Roman CYR"/>
          <w:sz w:val="28"/>
          <w:szCs w:val="28"/>
          <w:lang w:val="en-US"/>
        </w:rPr>
        <w:t>UX</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Ukrainian</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Equities</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Index</w:t>
      </w:r>
      <w:r>
        <w:rPr>
          <w:rFonts w:ascii="Times New Roman CYR" w:hAnsi="Times New Roman CYR" w:cs="Times New Roman CYR"/>
          <w:sz w:val="28"/>
          <w:szCs w:val="28"/>
        </w:rPr>
        <w:t>»).</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Индекс украинских акций является индикатором, рассчитываемым ОАО "Украинская биржа". Индекс рассчитывается в течение торговой сессии каждые </w:t>
      </w:r>
      <w:r>
        <w:rPr>
          <w:rFonts w:ascii="Times New Roman CYR" w:hAnsi="Times New Roman CYR" w:cs="Times New Roman CYR"/>
          <w:sz w:val="28"/>
          <w:szCs w:val="28"/>
        </w:rPr>
        <w:lastRenderedPageBreak/>
        <w:t>15 секунд. Первое значение индекса является значением открытия, последнее значение индекса - значением закрытия.</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Тип индекса: взвешенный по капитализации с учетом free - float.</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Индекс рассчитывается как отношение суммарной рыночной капитализации ценных бумаг включенных в список для расчета индекса, к суммарной рыночной капитализации ценных бумаг на начальную дату, умноженное на значение индекса на начальную дату и на поправочный коэффициент []:</w:t>
      </w:r>
    </w:p>
    <w:p w:rsidR="00CA7AE8" w:rsidRDefault="00CA7AE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CA7AE8" w:rsidRDefault="004C053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234440" cy="518160"/>
            <wp:effectExtent l="0" t="0" r="381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34440" cy="518160"/>
                    </a:xfrm>
                    <a:prstGeom prst="rect">
                      <a:avLst/>
                    </a:prstGeom>
                    <a:noFill/>
                    <a:ln>
                      <a:noFill/>
                    </a:ln>
                  </pic:spPr>
                </pic:pic>
              </a:graphicData>
            </a:graphic>
          </wp:inline>
        </w:drawing>
      </w:r>
      <w:r w:rsidR="00054328">
        <w:rPr>
          <w:rFonts w:ascii="Times New Roman CYR" w:hAnsi="Times New Roman CYR" w:cs="Times New Roman CYR"/>
          <w:sz w:val="28"/>
          <w:szCs w:val="28"/>
        </w:rPr>
        <w:t xml:space="preserve"> (2.7)</w:t>
      </w:r>
    </w:p>
    <w:p w:rsidR="00CA7AE8" w:rsidRDefault="000543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поправочный коэффициент- значение индекса на начальную дату- сумма рыночных капитализаций ценных бумаг на начальную дату- сумма рыночных капитализаций акций на текущее время в украинских гривнах []:</w:t>
      </w:r>
    </w:p>
    <w:p w:rsidR="00CA7AE8" w:rsidRDefault="00CA7AE8">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CA7AE8" w:rsidRDefault="004C053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668780" cy="426720"/>
            <wp:effectExtent l="0" t="0" r="762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68780" cy="426720"/>
                    </a:xfrm>
                    <a:prstGeom prst="rect">
                      <a:avLst/>
                    </a:prstGeom>
                    <a:noFill/>
                    <a:ln>
                      <a:noFill/>
                    </a:ln>
                  </pic:spPr>
                </pic:pic>
              </a:graphicData>
            </a:graphic>
          </wp:inline>
        </w:drawing>
      </w:r>
      <w:r w:rsidR="00054328">
        <w:rPr>
          <w:rFonts w:ascii="Times New Roman CYR" w:hAnsi="Times New Roman CYR" w:cs="Times New Roman CYR"/>
          <w:sz w:val="28"/>
          <w:szCs w:val="28"/>
        </w:rPr>
        <w:t xml:space="preserve"> (2.8)</w:t>
      </w:r>
    </w:p>
    <w:p w:rsidR="00CA7AE8" w:rsidRDefault="000543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поправочный коэффициент, учитывающий количество i-ых акций в свободном обращении (коэффициент free-float),</w:t>
      </w:r>
    </w:p>
    <w:p w:rsidR="00CA7AE8" w:rsidRDefault="000543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Сi - коэффициент, ограничивающий долю капитализации i-ой акции (весовой коэффициент);- общее количество i-ых акций,- цена i-той акции в гривнах на момент расчета n,</w:t>
      </w:r>
    </w:p>
    <w:p w:rsidR="00CA7AE8" w:rsidRDefault="000543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lang w:val="en-US"/>
        </w:rPr>
        <w:t>n</w:t>
      </w:r>
      <w:r>
        <w:rPr>
          <w:rFonts w:ascii="Times New Roman CYR" w:hAnsi="Times New Roman CYR" w:cs="Times New Roman CYR"/>
          <w:sz w:val="28"/>
          <w:szCs w:val="28"/>
        </w:rPr>
        <w:t xml:space="preserve"> - число акций в Списке ценных бумаг.</w:t>
      </w:r>
    </w:p>
    <w:p w:rsidR="00CA7AE8" w:rsidRDefault="000543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Исходными данными для расчета индекса являются:</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информация о сделках, заключенных в торговой системе на основании безадресных заявок во время торговой сессии, с ценными бумагами, входящими в список для расчета индекса.</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информация о текущих лучших ценах заявок.</w:t>
      </w:r>
    </w:p>
    <w:p w:rsidR="00CA7AE8" w:rsidRDefault="00CA7AE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2.2</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Список акций, составляющих структуру индекса UX []</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567"/>
        <w:gridCol w:w="993"/>
        <w:gridCol w:w="1667"/>
        <w:gridCol w:w="1526"/>
        <w:gridCol w:w="1559"/>
        <w:gridCol w:w="1701"/>
        <w:gridCol w:w="1418"/>
      </w:tblGrid>
      <w:tr w:rsidR="00CA7AE8">
        <w:tc>
          <w:tcPr>
            <w:tcW w:w="567"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Calibri" w:hAnsi="Calibri" w:cs="Calibri"/>
                <w:noProof/>
              </w:rPr>
              <w:lastRenderedPageBreak/>
              <w:t xml:space="preserve"> </w:t>
            </w:r>
            <w:r w:rsidR="004C0537">
              <w:rPr>
                <w:rFonts w:ascii="Microsoft Sans Serif" w:hAnsi="Microsoft Sans Serif" w:cs="Microsoft Sans Serif"/>
                <w:noProof/>
                <w:sz w:val="17"/>
                <w:szCs w:val="17"/>
              </w:rPr>
              <w:drawing>
                <wp:inline distT="0" distB="0" distL="0" distR="0">
                  <wp:extent cx="30480" cy="3048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480" cy="30480"/>
                          </a:xfrm>
                          <a:prstGeom prst="rect">
                            <a:avLst/>
                          </a:prstGeom>
                          <a:noFill/>
                          <a:ln>
                            <a:noFill/>
                          </a:ln>
                        </pic:spPr>
                      </pic:pic>
                    </a:graphicData>
                  </a:graphic>
                </wp:inline>
              </w:drawing>
            </w:r>
            <w:r>
              <w:rPr>
                <w:rFonts w:ascii="Calibri" w:hAnsi="Calibri" w:cs="Calibri"/>
                <w:noProof/>
              </w:rPr>
              <w:t xml:space="preserve">  </w:t>
            </w:r>
            <w:r w:rsidR="004C0537">
              <w:rPr>
                <w:rFonts w:ascii="Microsoft Sans Serif" w:hAnsi="Microsoft Sans Serif" w:cs="Microsoft Sans Serif"/>
                <w:noProof/>
                <w:sz w:val="17"/>
                <w:szCs w:val="17"/>
              </w:rPr>
              <w:drawing>
                <wp:inline distT="0" distB="0" distL="0" distR="0">
                  <wp:extent cx="30480" cy="3048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80" cy="30480"/>
                          </a:xfrm>
                          <a:prstGeom prst="rect">
                            <a:avLst/>
                          </a:prstGeom>
                          <a:noFill/>
                          <a:ln>
                            <a:noFill/>
                          </a:ln>
                        </pic:spPr>
                      </pic:pic>
                    </a:graphicData>
                  </a:graphic>
                </wp:inline>
              </w:drawing>
            </w:r>
            <w:r>
              <w:rPr>
                <w:rFonts w:ascii="Calibri" w:hAnsi="Calibri" w:cs="Calibri"/>
                <w:noProof/>
              </w:rPr>
              <w:t xml:space="preserve"> </w:t>
            </w:r>
            <w:r>
              <w:rPr>
                <w:rFonts w:ascii="Times New Roman CYR" w:hAnsi="Times New Roman CYR" w:cs="Times New Roman CYR"/>
                <w:sz w:val="20"/>
                <w:szCs w:val="20"/>
              </w:rPr>
              <w:t xml:space="preserve"> № п/п</w:t>
            </w:r>
          </w:p>
        </w:tc>
        <w:tc>
          <w:tcPr>
            <w:tcW w:w="993"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Код</w:t>
            </w:r>
          </w:p>
        </w:tc>
        <w:tc>
          <w:tcPr>
            <w:tcW w:w="1667"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w:t>
            </w:r>
          </w:p>
        </w:tc>
        <w:tc>
          <w:tcPr>
            <w:tcW w:w="1526"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выпущенных акций, шт</w:t>
            </w:r>
          </w:p>
        </w:tc>
        <w:tc>
          <w:tcPr>
            <w:tcW w:w="1559"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учитывающий free-float (Wi),%</w:t>
            </w:r>
          </w:p>
        </w:tc>
        <w:tc>
          <w:tcPr>
            <w:tcW w:w="1701"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ограничивающий вес акции (Ci)</w:t>
            </w:r>
          </w:p>
        </w:tc>
        <w:tc>
          <w:tcPr>
            <w:tcW w:w="1418"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Вес акции по сост. на 02.03.2012, %</w:t>
            </w:r>
          </w:p>
        </w:tc>
      </w:tr>
      <w:tr w:rsidR="00CA7AE8">
        <w:tc>
          <w:tcPr>
            <w:tcW w:w="567"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993"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ALMK</w:t>
            </w:r>
          </w:p>
        </w:tc>
        <w:tc>
          <w:tcPr>
            <w:tcW w:w="1667"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Алчевський металургійний комбінат, аз</w:t>
            </w:r>
          </w:p>
        </w:tc>
        <w:tc>
          <w:tcPr>
            <w:tcW w:w="1526"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25 775 254 803</w:t>
            </w:r>
          </w:p>
        </w:tc>
        <w:tc>
          <w:tcPr>
            <w:tcW w:w="1559"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701"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418"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8,43%</w:t>
            </w:r>
          </w:p>
        </w:tc>
      </w:tr>
      <w:tr w:rsidR="00CA7AE8">
        <w:tc>
          <w:tcPr>
            <w:tcW w:w="567"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993"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AVDK</w:t>
            </w:r>
          </w:p>
        </w:tc>
        <w:tc>
          <w:tcPr>
            <w:tcW w:w="1667"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Авдіївський коксохімічний завод, аз</w:t>
            </w:r>
          </w:p>
        </w:tc>
        <w:tc>
          <w:tcPr>
            <w:tcW w:w="1526"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195 062 500</w:t>
            </w:r>
          </w:p>
        </w:tc>
        <w:tc>
          <w:tcPr>
            <w:tcW w:w="1559"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1701"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418"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7,30%</w:t>
            </w:r>
          </w:p>
        </w:tc>
      </w:tr>
      <w:tr w:rsidR="00CA7AE8">
        <w:tc>
          <w:tcPr>
            <w:tcW w:w="567"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993"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AZST</w:t>
            </w:r>
          </w:p>
        </w:tc>
        <w:tc>
          <w:tcPr>
            <w:tcW w:w="1667"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Азовсталь, аз</w:t>
            </w:r>
          </w:p>
        </w:tc>
        <w:tc>
          <w:tcPr>
            <w:tcW w:w="1526"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4 204 000 000</w:t>
            </w:r>
          </w:p>
        </w:tc>
        <w:tc>
          <w:tcPr>
            <w:tcW w:w="1559"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701"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0,78</w:t>
            </w:r>
          </w:p>
        </w:tc>
        <w:tc>
          <w:tcPr>
            <w:tcW w:w="1418"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15,00%</w:t>
            </w:r>
          </w:p>
        </w:tc>
      </w:tr>
      <w:tr w:rsidR="00CA7AE8">
        <w:tc>
          <w:tcPr>
            <w:tcW w:w="567"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993"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BAVL</w:t>
            </w:r>
          </w:p>
        </w:tc>
        <w:tc>
          <w:tcPr>
            <w:tcW w:w="1667"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Райффайзен Банк Аваль, аз</w:t>
            </w:r>
          </w:p>
        </w:tc>
        <w:tc>
          <w:tcPr>
            <w:tcW w:w="1526"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29 977 749 080</w:t>
            </w:r>
          </w:p>
        </w:tc>
        <w:tc>
          <w:tcPr>
            <w:tcW w:w="1559"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w:t>
            </w:r>
          </w:p>
        </w:tc>
        <w:tc>
          <w:tcPr>
            <w:tcW w:w="1701"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418"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10,64%</w:t>
            </w:r>
          </w:p>
        </w:tc>
      </w:tr>
      <w:tr w:rsidR="00CA7AE8">
        <w:tc>
          <w:tcPr>
            <w:tcW w:w="567"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993"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CEEN</w:t>
            </w:r>
          </w:p>
        </w:tc>
        <w:tc>
          <w:tcPr>
            <w:tcW w:w="1667"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Центренерго, аз</w:t>
            </w:r>
          </w:p>
        </w:tc>
        <w:tc>
          <w:tcPr>
            <w:tcW w:w="1526"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369 407 108</w:t>
            </w:r>
          </w:p>
        </w:tc>
        <w:tc>
          <w:tcPr>
            <w:tcW w:w="1559"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w:t>
            </w:r>
          </w:p>
        </w:tc>
        <w:tc>
          <w:tcPr>
            <w:tcW w:w="1701"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0,27</w:t>
            </w:r>
          </w:p>
        </w:tc>
        <w:tc>
          <w:tcPr>
            <w:tcW w:w="1418"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15,00%</w:t>
            </w:r>
          </w:p>
        </w:tc>
      </w:tr>
      <w:tr w:rsidR="00CA7AE8">
        <w:tc>
          <w:tcPr>
            <w:tcW w:w="567"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993"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DOEN</w:t>
            </w:r>
          </w:p>
        </w:tc>
        <w:tc>
          <w:tcPr>
            <w:tcW w:w="1667"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Донбасенерго, аз</w:t>
            </w:r>
          </w:p>
        </w:tc>
        <w:tc>
          <w:tcPr>
            <w:tcW w:w="1526"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23 644 301</w:t>
            </w:r>
          </w:p>
        </w:tc>
        <w:tc>
          <w:tcPr>
            <w:tcW w:w="1559"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1701"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418"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7,96%</w:t>
            </w:r>
          </w:p>
        </w:tc>
      </w:tr>
      <w:tr w:rsidR="00CA7AE8">
        <w:tc>
          <w:tcPr>
            <w:tcW w:w="567"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993"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ENMZ</w:t>
            </w:r>
          </w:p>
        </w:tc>
        <w:tc>
          <w:tcPr>
            <w:tcW w:w="1667"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Єнакієвський металургійний завод, аз</w:t>
            </w:r>
          </w:p>
        </w:tc>
        <w:tc>
          <w:tcPr>
            <w:tcW w:w="1526"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10 550 688</w:t>
            </w:r>
          </w:p>
        </w:tc>
        <w:tc>
          <w:tcPr>
            <w:tcW w:w="1559"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1701"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418"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5,22%</w:t>
            </w:r>
          </w:p>
        </w:tc>
      </w:tr>
      <w:tr w:rsidR="00CA7AE8">
        <w:tc>
          <w:tcPr>
            <w:tcW w:w="567"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993"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MSICH</w:t>
            </w:r>
          </w:p>
        </w:tc>
        <w:tc>
          <w:tcPr>
            <w:tcW w:w="1667"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Мотор Січ, аз</w:t>
            </w:r>
          </w:p>
        </w:tc>
        <w:tc>
          <w:tcPr>
            <w:tcW w:w="1526"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2 077 990</w:t>
            </w:r>
          </w:p>
        </w:tc>
        <w:tc>
          <w:tcPr>
            <w:tcW w:w="1559"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w:t>
            </w:r>
          </w:p>
        </w:tc>
        <w:tc>
          <w:tcPr>
            <w:tcW w:w="1701"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0,16</w:t>
            </w:r>
          </w:p>
        </w:tc>
        <w:tc>
          <w:tcPr>
            <w:tcW w:w="1418"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15,00%</w:t>
            </w:r>
          </w:p>
        </w:tc>
      </w:tr>
      <w:tr w:rsidR="00CA7AE8">
        <w:tc>
          <w:tcPr>
            <w:tcW w:w="567"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993"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UNAF</w:t>
            </w:r>
          </w:p>
        </w:tc>
        <w:tc>
          <w:tcPr>
            <w:tcW w:w="1667"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Укрнафта, аз</w:t>
            </w:r>
          </w:p>
        </w:tc>
        <w:tc>
          <w:tcPr>
            <w:tcW w:w="1526"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54 228 510</w:t>
            </w:r>
          </w:p>
        </w:tc>
        <w:tc>
          <w:tcPr>
            <w:tcW w:w="1559"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w:t>
            </w:r>
          </w:p>
        </w:tc>
        <w:tc>
          <w:tcPr>
            <w:tcW w:w="1701"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418"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7,36%</w:t>
            </w:r>
          </w:p>
        </w:tc>
      </w:tr>
      <w:tr w:rsidR="00CA7AE8">
        <w:tc>
          <w:tcPr>
            <w:tcW w:w="567"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993"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USCB</w:t>
            </w:r>
          </w:p>
        </w:tc>
        <w:tc>
          <w:tcPr>
            <w:tcW w:w="1667"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Укрсоцбанк, аз</w:t>
            </w:r>
          </w:p>
        </w:tc>
        <w:tc>
          <w:tcPr>
            <w:tcW w:w="1526"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12 694 986 050</w:t>
            </w:r>
          </w:p>
        </w:tc>
        <w:tc>
          <w:tcPr>
            <w:tcW w:w="1559"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w:t>
            </w:r>
          </w:p>
        </w:tc>
        <w:tc>
          <w:tcPr>
            <w:tcW w:w="1701"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418"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8,09%</w:t>
            </w:r>
          </w:p>
        </w:tc>
      </w:tr>
    </w:tbl>
    <w:p w:rsidR="00CA7AE8" w:rsidRDefault="00CA7AE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Список ценных бумаг, используемых для расчета индекса, определяется Индексным комитетом и состоит не менее чем из 10 наиболее ликвидных акций украинских компаний. Выбор акций осуществляется на основе экспертной оценки среди ценных бумаг, допущенных к торгам на Бирже. Список ценных бумаг, которые входят в структуру индекса UX, приведен в таблице 2.2.</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рисунка 2.6 видно, что максимальное значение индекса зафиксировано в марте 2011 года и было равно 20962,58 пунктов. Минимальное значение зафиксировано в марте 2009 и было равно 500 пунктов.</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 прошлый год индекс снизился на 40,3% - с 2 443,7 до 1 458,87 пункта. Как видно из рис.2.6, продолжает снижаться. Хотя в 2010 г. индекс украинских акций вырос на 67,9%.</w:t>
      </w:r>
    </w:p>
    <w:p w:rsidR="00CA7AE8" w:rsidRDefault="00CA7AE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p>
    <w:p w:rsidR="00CA7AE8" w:rsidRDefault="004C0537">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366260" cy="297942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66260" cy="2979420"/>
                    </a:xfrm>
                    <a:prstGeom prst="rect">
                      <a:avLst/>
                    </a:prstGeom>
                    <a:noFill/>
                    <a:ln>
                      <a:noFill/>
                    </a:ln>
                  </pic:spPr>
                </pic:pic>
              </a:graphicData>
            </a:graphic>
          </wp:inline>
        </w:drawing>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2.6 Динамика индекса UX за 2009-2012 год</w:t>
      </w:r>
    </w:p>
    <w:p w:rsidR="00CA7AE8" w:rsidRDefault="00CA7AE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Украине рассчитываться Индекс ПФТС. Этот индекс является композитным индексом украинского фондового рынка, рассчитываемый по ценам сделок, заключенных с 20 наиболее ликвидными акциями эмитентов, виды экономической деятельности которых относятся к основным секторам экономики Украины.</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Акции, по ценам сделок с которым рассчитывается индекс, составляют базу расчета индекса. Кроме базы расчета, для индекса формируется список акций, которые могут быть включены в базу расчета индекса.</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Индекс является ценовым, при этом цены акций, учитываемых при расчете индекса, устанавливаются по количеству ценных бумаг в выпусках соответствующих акций, свободно обращающихся на организованном рынке ценных бумаг (см. табл. 2.3).</w:t>
      </w:r>
    </w:p>
    <w:p w:rsidR="00CA7AE8" w:rsidRDefault="00CA7AE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2.3</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Список акций, составляющих структуру индекса ПФТС []</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675"/>
        <w:gridCol w:w="784"/>
        <w:gridCol w:w="1645"/>
        <w:gridCol w:w="1506"/>
        <w:gridCol w:w="1452"/>
        <w:gridCol w:w="1701"/>
        <w:gridCol w:w="1666"/>
      </w:tblGrid>
      <w:tr w:rsidR="00CA7AE8">
        <w:tc>
          <w:tcPr>
            <w:tcW w:w="675"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Calibri" w:hAnsi="Calibri" w:cs="Calibri"/>
                <w:noProof/>
              </w:rPr>
              <w:lastRenderedPageBreak/>
              <w:t xml:space="preserve"> </w:t>
            </w:r>
            <w:r w:rsidR="004C0537">
              <w:rPr>
                <w:rFonts w:ascii="Microsoft Sans Serif" w:hAnsi="Microsoft Sans Serif" w:cs="Microsoft Sans Serif"/>
                <w:noProof/>
                <w:sz w:val="17"/>
                <w:szCs w:val="17"/>
              </w:rPr>
              <w:drawing>
                <wp:inline distT="0" distB="0" distL="0" distR="0">
                  <wp:extent cx="45720" cy="4572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r>
              <w:rPr>
                <w:rFonts w:ascii="Calibri" w:hAnsi="Calibri" w:cs="Calibri"/>
                <w:noProof/>
              </w:rPr>
              <w:t xml:space="preserve">  </w:t>
            </w:r>
            <w:r w:rsidR="004C0537">
              <w:rPr>
                <w:rFonts w:ascii="Microsoft Sans Serif" w:hAnsi="Microsoft Sans Serif" w:cs="Microsoft Sans Serif"/>
                <w:noProof/>
                <w:sz w:val="17"/>
                <w:szCs w:val="17"/>
              </w:rPr>
              <w:drawing>
                <wp:inline distT="0" distB="0" distL="0" distR="0">
                  <wp:extent cx="30480" cy="4572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80" cy="45720"/>
                          </a:xfrm>
                          <a:prstGeom prst="rect">
                            <a:avLst/>
                          </a:prstGeom>
                          <a:noFill/>
                          <a:ln>
                            <a:noFill/>
                          </a:ln>
                        </pic:spPr>
                      </pic:pic>
                    </a:graphicData>
                  </a:graphic>
                </wp:inline>
              </w:drawing>
            </w:r>
            <w:r>
              <w:rPr>
                <w:rFonts w:ascii="Calibri" w:hAnsi="Calibri" w:cs="Calibri"/>
                <w:noProof/>
              </w:rPr>
              <w:t xml:space="preserve"> </w:t>
            </w:r>
            <w:r>
              <w:rPr>
                <w:rFonts w:ascii="Times New Roman CYR" w:hAnsi="Times New Roman CYR" w:cs="Times New Roman CYR"/>
                <w:sz w:val="20"/>
                <w:szCs w:val="20"/>
              </w:rPr>
              <w:t>№ п/п</w:t>
            </w:r>
          </w:p>
        </w:tc>
        <w:tc>
          <w:tcPr>
            <w:tcW w:w="784"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Код</w:t>
            </w:r>
          </w:p>
        </w:tc>
        <w:tc>
          <w:tcPr>
            <w:tcW w:w="1645"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w:t>
            </w:r>
          </w:p>
        </w:tc>
        <w:tc>
          <w:tcPr>
            <w:tcW w:w="1506"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выпущенных акций, шт.</w:t>
            </w:r>
          </w:p>
        </w:tc>
        <w:tc>
          <w:tcPr>
            <w:tcW w:w="1452"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учитывающий free-float (Wi),%</w:t>
            </w:r>
          </w:p>
        </w:tc>
        <w:tc>
          <w:tcPr>
            <w:tcW w:w="1701"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ограничивающий вес акции (Ci)</w:t>
            </w:r>
          </w:p>
        </w:tc>
        <w:tc>
          <w:tcPr>
            <w:tcW w:w="1666"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акций эмитента, которые учитываются при расчете Индекса, шт.</w:t>
            </w:r>
          </w:p>
        </w:tc>
      </w:tr>
      <w:tr w:rsidR="00CA7AE8">
        <w:tc>
          <w:tcPr>
            <w:tcW w:w="675" w:type="dxa"/>
            <w:tcBorders>
              <w:top w:val="single" w:sz="6" w:space="0" w:color="auto"/>
              <w:left w:val="single" w:sz="6" w:space="0" w:color="auto"/>
              <w:bottom w:val="single" w:sz="6" w:space="0" w:color="auto"/>
              <w:right w:val="single" w:sz="6" w:space="0" w:color="auto"/>
            </w:tcBorders>
          </w:tcPr>
          <w:p w:rsidR="00CA7AE8" w:rsidRDefault="00CA7AE8">
            <w:pPr>
              <w:widowControl w:val="0"/>
              <w:autoSpaceDE w:val="0"/>
              <w:autoSpaceDN w:val="0"/>
              <w:adjustRightInd w:val="0"/>
              <w:spacing w:after="0" w:line="240" w:lineRule="auto"/>
              <w:rPr>
                <w:rFonts w:ascii="Times New Roman CYR" w:hAnsi="Times New Roman CYR" w:cs="Times New Roman CYR"/>
                <w:sz w:val="20"/>
                <w:szCs w:val="20"/>
              </w:rPr>
            </w:pPr>
          </w:p>
        </w:tc>
        <w:tc>
          <w:tcPr>
            <w:tcW w:w="784" w:type="dxa"/>
            <w:tcBorders>
              <w:top w:val="single" w:sz="6" w:space="0" w:color="auto"/>
              <w:left w:val="single" w:sz="6" w:space="0" w:color="auto"/>
              <w:bottom w:val="single" w:sz="6" w:space="0" w:color="auto"/>
              <w:right w:val="single" w:sz="6" w:space="0" w:color="auto"/>
            </w:tcBorders>
          </w:tcPr>
          <w:p w:rsidR="00CA7AE8" w:rsidRDefault="00CA7AE8">
            <w:pPr>
              <w:widowControl w:val="0"/>
              <w:autoSpaceDE w:val="0"/>
              <w:autoSpaceDN w:val="0"/>
              <w:adjustRightInd w:val="0"/>
              <w:spacing w:after="0" w:line="240" w:lineRule="auto"/>
              <w:rPr>
                <w:rFonts w:ascii="Times New Roman CYR" w:hAnsi="Times New Roman CYR" w:cs="Times New Roman CYR"/>
                <w:sz w:val="20"/>
                <w:szCs w:val="20"/>
              </w:rPr>
            </w:pPr>
          </w:p>
        </w:tc>
        <w:tc>
          <w:tcPr>
            <w:tcW w:w="1645" w:type="dxa"/>
            <w:tcBorders>
              <w:top w:val="single" w:sz="6" w:space="0" w:color="auto"/>
              <w:left w:val="single" w:sz="6" w:space="0" w:color="auto"/>
              <w:bottom w:val="single" w:sz="6" w:space="0" w:color="auto"/>
              <w:right w:val="single" w:sz="6" w:space="0" w:color="auto"/>
            </w:tcBorders>
          </w:tcPr>
          <w:p w:rsidR="00CA7AE8" w:rsidRDefault="00CA7AE8">
            <w:pPr>
              <w:widowControl w:val="0"/>
              <w:autoSpaceDE w:val="0"/>
              <w:autoSpaceDN w:val="0"/>
              <w:adjustRightInd w:val="0"/>
              <w:spacing w:after="0" w:line="240" w:lineRule="auto"/>
              <w:rPr>
                <w:rFonts w:ascii="Times New Roman CYR" w:hAnsi="Times New Roman CYR" w:cs="Times New Roman CYR"/>
                <w:sz w:val="20"/>
                <w:szCs w:val="20"/>
              </w:rPr>
            </w:pPr>
          </w:p>
        </w:tc>
        <w:tc>
          <w:tcPr>
            <w:tcW w:w="1506" w:type="dxa"/>
            <w:tcBorders>
              <w:top w:val="single" w:sz="6" w:space="0" w:color="auto"/>
              <w:left w:val="single" w:sz="6" w:space="0" w:color="auto"/>
              <w:bottom w:val="single" w:sz="6" w:space="0" w:color="auto"/>
              <w:right w:val="single" w:sz="6" w:space="0" w:color="auto"/>
            </w:tcBorders>
          </w:tcPr>
          <w:p w:rsidR="00CA7AE8" w:rsidRDefault="00CA7AE8">
            <w:pPr>
              <w:widowControl w:val="0"/>
              <w:autoSpaceDE w:val="0"/>
              <w:autoSpaceDN w:val="0"/>
              <w:adjustRightInd w:val="0"/>
              <w:spacing w:after="0" w:line="240" w:lineRule="auto"/>
              <w:rPr>
                <w:rFonts w:ascii="Times New Roman CYR" w:hAnsi="Times New Roman CYR" w:cs="Times New Roman CYR"/>
                <w:sz w:val="20"/>
                <w:szCs w:val="20"/>
              </w:rPr>
            </w:pPr>
          </w:p>
        </w:tc>
        <w:tc>
          <w:tcPr>
            <w:tcW w:w="1452" w:type="dxa"/>
            <w:tcBorders>
              <w:top w:val="single" w:sz="6" w:space="0" w:color="auto"/>
              <w:left w:val="single" w:sz="6" w:space="0" w:color="auto"/>
              <w:bottom w:val="single" w:sz="6" w:space="0" w:color="auto"/>
              <w:right w:val="single" w:sz="6" w:space="0" w:color="auto"/>
            </w:tcBorders>
          </w:tcPr>
          <w:p w:rsidR="00CA7AE8" w:rsidRDefault="00CA7AE8">
            <w:pPr>
              <w:widowControl w:val="0"/>
              <w:autoSpaceDE w:val="0"/>
              <w:autoSpaceDN w:val="0"/>
              <w:adjustRightInd w:val="0"/>
              <w:spacing w:after="0" w:line="240" w:lineRule="auto"/>
              <w:rPr>
                <w:rFonts w:ascii="Times New Roman CYR" w:hAnsi="Times New Roman CYR" w:cs="Times New Roman CYR"/>
                <w:sz w:val="20"/>
                <w:szCs w:val="20"/>
              </w:rPr>
            </w:pPr>
          </w:p>
        </w:tc>
        <w:tc>
          <w:tcPr>
            <w:tcW w:w="1701" w:type="dxa"/>
            <w:tcBorders>
              <w:top w:val="single" w:sz="6" w:space="0" w:color="auto"/>
              <w:left w:val="single" w:sz="6" w:space="0" w:color="auto"/>
              <w:bottom w:val="single" w:sz="6" w:space="0" w:color="auto"/>
              <w:right w:val="single" w:sz="6" w:space="0" w:color="auto"/>
            </w:tcBorders>
          </w:tcPr>
          <w:p w:rsidR="00CA7AE8" w:rsidRDefault="00CA7AE8">
            <w:pPr>
              <w:widowControl w:val="0"/>
              <w:autoSpaceDE w:val="0"/>
              <w:autoSpaceDN w:val="0"/>
              <w:adjustRightInd w:val="0"/>
              <w:spacing w:after="0" w:line="240" w:lineRule="auto"/>
              <w:rPr>
                <w:rFonts w:ascii="Times New Roman CYR" w:hAnsi="Times New Roman CYR" w:cs="Times New Roman CYR"/>
                <w:sz w:val="20"/>
                <w:szCs w:val="20"/>
              </w:rPr>
            </w:pPr>
          </w:p>
        </w:tc>
        <w:tc>
          <w:tcPr>
            <w:tcW w:w="1666" w:type="dxa"/>
            <w:tcBorders>
              <w:top w:val="single" w:sz="6" w:space="0" w:color="auto"/>
              <w:left w:val="single" w:sz="6" w:space="0" w:color="auto"/>
              <w:bottom w:val="single" w:sz="6" w:space="0" w:color="auto"/>
              <w:right w:val="single" w:sz="6" w:space="0" w:color="auto"/>
            </w:tcBorders>
          </w:tcPr>
          <w:p w:rsidR="00CA7AE8" w:rsidRDefault="00CA7AE8">
            <w:pPr>
              <w:widowControl w:val="0"/>
              <w:autoSpaceDE w:val="0"/>
              <w:autoSpaceDN w:val="0"/>
              <w:adjustRightInd w:val="0"/>
              <w:spacing w:after="0" w:line="240" w:lineRule="auto"/>
              <w:rPr>
                <w:rFonts w:ascii="Times New Roman CYR" w:hAnsi="Times New Roman CYR" w:cs="Times New Roman CYR"/>
                <w:sz w:val="20"/>
                <w:szCs w:val="20"/>
              </w:rPr>
            </w:pPr>
          </w:p>
        </w:tc>
      </w:tr>
      <w:tr w:rsidR="00CA7AE8">
        <w:tc>
          <w:tcPr>
            <w:tcW w:w="675" w:type="dxa"/>
            <w:tcBorders>
              <w:top w:val="single" w:sz="6" w:space="0" w:color="auto"/>
              <w:left w:val="single" w:sz="6" w:space="0" w:color="auto"/>
              <w:bottom w:val="single" w:sz="6" w:space="0" w:color="auto"/>
              <w:right w:val="single" w:sz="6" w:space="0" w:color="auto"/>
            </w:tcBorders>
          </w:tcPr>
          <w:p w:rsidR="00CA7AE8" w:rsidRDefault="00CA7AE8">
            <w:pPr>
              <w:widowControl w:val="0"/>
              <w:autoSpaceDE w:val="0"/>
              <w:autoSpaceDN w:val="0"/>
              <w:adjustRightInd w:val="0"/>
              <w:spacing w:after="0" w:line="240" w:lineRule="auto"/>
              <w:rPr>
                <w:rFonts w:ascii="Times New Roman CYR" w:hAnsi="Times New Roman CYR" w:cs="Times New Roman CYR"/>
                <w:sz w:val="20"/>
                <w:szCs w:val="20"/>
              </w:rPr>
            </w:pPr>
          </w:p>
        </w:tc>
        <w:tc>
          <w:tcPr>
            <w:tcW w:w="784" w:type="dxa"/>
            <w:tcBorders>
              <w:top w:val="single" w:sz="6" w:space="0" w:color="auto"/>
              <w:left w:val="single" w:sz="6" w:space="0" w:color="auto"/>
              <w:bottom w:val="single" w:sz="6" w:space="0" w:color="auto"/>
              <w:right w:val="single" w:sz="6" w:space="0" w:color="auto"/>
            </w:tcBorders>
          </w:tcPr>
          <w:p w:rsidR="00CA7AE8" w:rsidRDefault="00CA7AE8">
            <w:pPr>
              <w:widowControl w:val="0"/>
              <w:autoSpaceDE w:val="0"/>
              <w:autoSpaceDN w:val="0"/>
              <w:adjustRightInd w:val="0"/>
              <w:spacing w:after="0" w:line="240" w:lineRule="auto"/>
              <w:rPr>
                <w:rFonts w:ascii="Times New Roman CYR" w:hAnsi="Times New Roman CYR" w:cs="Times New Roman CYR"/>
                <w:sz w:val="20"/>
                <w:szCs w:val="20"/>
              </w:rPr>
            </w:pPr>
          </w:p>
        </w:tc>
        <w:tc>
          <w:tcPr>
            <w:tcW w:w="1645" w:type="dxa"/>
            <w:tcBorders>
              <w:top w:val="single" w:sz="6" w:space="0" w:color="auto"/>
              <w:left w:val="single" w:sz="6" w:space="0" w:color="auto"/>
              <w:bottom w:val="single" w:sz="6" w:space="0" w:color="auto"/>
              <w:right w:val="single" w:sz="6" w:space="0" w:color="auto"/>
            </w:tcBorders>
          </w:tcPr>
          <w:p w:rsidR="00CA7AE8" w:rsidRDefault="00CA7AE8">
            <w:pPr>
              <w:widowControl w:val="0"/>
              <w:autoSpaceDE w:val="0"/>
              <w:autoSpaceDN w:val="0"/>
              <w:adjustRightInd w:val="0"/>
              <w:spacing w:after="0" w:line="240" w:lineRule="auto"/>
              <w:rPr>
                <w:rFonts w:ascii="Times New Roman CYR" w:hAnsi="Times New Roman CYR" w:cs="Times New Roman CYR"/>
                <w:sz w:val="20"/>
                <w:szCs w:val="20"/>
              </w:rPr>
            </w:pPr>
          </w:p>
        </w:tc>
        <w:tc>
          <w:tcPr>
            <w:tcW w:w="1506" w:type="dxa"/>
            <w:tcBorders>
              <w:top w:val="single" w:sz="6" w:space="0" w:color="auto"/>
              <w:left w:val="single" w:sz="6" w:space="0" w:color="auto"/>
              <w:bottom w:val="single" w:sz="6" w:space="0" w:color="auto"/>
              <w:right w:val="single" w:sz="6" w:space="0" w:color="auto"/>
            </w:tcBorders>
          </w:tcPr>
          <w:p w:rsidR="00CA7AE8" w:rsidRDefault="00CA7AE8">
            <w:pPr>
              <w:widowControl w:val="0"/>
              <w:autoSpaceDE w:val="0"/>
              <w:autoSpaceDN w:val="0"/>
              <w:adjustRightInd w:val="0"/>
              <w:spacing w:after="0" w:line="240" w:lineRule="auto"/>
              <w:rPr>
                <w:rFonts w:ascii="Times New Roman CYR" w:hAnsi="Times New Roman CYR" w:cs="Times New Roman CYR"/>
                <w:sz w:val="20"/>
                <w:szCs w:val="20"/>
              </w:rPr>
            </w:pPr>
          </w:p>
        </w:tc>
        <w:tc>
          <w:tcPr>
            <w:tcW w:w="1452" w:type="dxa"/>
            <w:tcBorders>
              <w:top w:val="single" w:sz="6" w:space="0" w:color="auto"/>
              <w:left w:val="single" w:sz="6" w:space="0" w:color="auto"/>
              <w:bottom w:val="single" w:sz="6" w:space="0" w:color="auto"/>
              <w:right w:val="single" w:sz="6" w:space="0" w:color="auto"/>
            </w:tcBorders>
          </w:tcPr>
          <w:p w:rsidR="00CA7AE8" w:rsidRDefault="00CA7AE8">
            <w:pPr>
              <w:widowControl w:val="0"/>
              <w:autoSpaceDE w:val="0"/>
              <w:autoSpaceDN w:val="0"/>
              <w:adjustRightInd w:val="0"/>
              <w:spacing w:after="0" w:line="240" w:lineRule="auto"/>
              <w:rPr>
                <w:rFonts w:ascii="Times New Roman CYR" w:hAnsi="Times New Roman CYR" w:cs="Times New Roman CYR"/>
                <w:sz w:val="20"/>
                <w:szCs w:val="20"/>
              </w:rPr>
            </w:pPr>
          </w:p>
        </w:tc>
        <w:tc>
          <w:tcPr>
            <w:tcW w:w="1701" w:type="dxa"/>
            <w:tcBorders>
              <w:top w:val="single" w:sz="6" w:space="0" w:color="auto"/>
              <w:left w:val="single" w:sz="6" w:space="0" w:color="auto"/>
              <w:bottom w:val="single" w:sz="6" w:space="0" w:color="auto"/>
              <w:right w:val="single" w:sz="6" w:space="0" w:color="auto"/>
            </w:tcBorders>
          </w:tcPr>
          <w:p w:rsidR="00CA7AE8" w:rsidRDefault="00CA7AE8">
            <w:pPr>
              <w:widowControl w:val="0"/>
              <w:autoSpaceDE w:val="0"/>
              <w:autoSpaceDN w:val="0"/>
              <w:adjustRightInd w:val="0"/>
              <w:spacing w:after="0" w:line="240" w:lineRule="auto"/>
              <w:rPr>
                <w:rFonts w:ascii="Times New Roman CYR" w:hAnsi="Times New Roman CYR" w:cs="Times New Roman CYR"/>
                <w:sz w:val="20"/>
                <w:szCs w:val="20"/>
              </w:rPr>
            </w:pPr>
          </w:p>
        </w:tc>
        <w:tc>
          <w:tcPr>
            <w:tcW w:w="1666" w:type="dxa"/>
            <w:tcBorders>
              <w:top w:val="single" w:sz="6" w:space="0" w:color="auto"/>
              <w:left w:val="single" w:sz="6" w:space="0" w:color="auto"/>
              <w:bottom w:val="single" w:sz="6" w:space="0" w:color="auto"/>
              <w:right w:val="single" w:sz="6" w:space="0" w:color="auto"/>
            </w:tcBorders>
          </w:tcPr>
          <w:p w:rsidR="00CA7AE8" w:rsidRDefault="00CA7AE8">
            <w:pPr>
              <w:widowControl w:val="0"/>
              <w:autoSpaceDE w:val="0"/>
              <w:autoSpaceDN w:val="0"/>
              <w:adjustRightInd w:val="0"/>
              <w:spacing w:after="0" w:line="240" w:lineRule="auto"/>
              <w:rPr>
                <w:rFonts w:ascii="Times New Roman CYR" w:hAnsi="Times New Roman CYR" w:cs="Times New Roman CYR"/>
                <w:sz w:val="20"/>
                <w:szCs w:val="20"/>
              </w:rPr>
            </w:pPr>
          </w:p>
        </w:tc>
      </w:tr>
      <w:tr w:rsidR="00CA7AE8">
        <w:tc>
          <w:tcPr>
            <w:tcW w:w="675"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784"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ALMK</w:t>
            </w:r>
          </w:p>
        </w:tc>
        <w:tc>
          <w:tcPr>
            <w:tcW w:w="1645"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Алчевський металургійний комбінат (ALMK)</w:t>
            </w:r>
          </w:p>
        </w:tc>
        <w:tc>
          <w:tcPr>
            <w:tcW w:w="1506"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25 775 254 803</w:t>
            </w:r>
          </w:p>
        </w:tc>
        <w:tc>
          <w:tcPr>
            <w:tcW w:w="1452"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3,87</w:t>
            </w:r>
          </w:p>
        </w:tc>
        <w:tc>
          <w:tcPr>
            <w:tcW w:w="1701"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666"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997 101 281</w:t>
            </w:r>
          </w:p>
        </w:tc>
      </w:tr>
      <w:tr w:rsidR="00CA7AE8">
        <w:tc>
          <w:tcPr>
            <w:tcW w:w="675"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784"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AVDK</w:t>
            </w:r>
          </w:p>
        </w:tc>
        <w:tc>
          <w:tcPr>
            <w:tcW w:w="1645"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Авдіївський коксохімічний завод (AVDK)</w:t>
            </w:r>
          </w:p>
        </w:tc>
        <w:tc>
          <w:tcPr>
            <w:tcW w:w="1506"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195 062 500</w:t>
            </w:r>
          </w:p>
        </w:tc>
        <w:tc>
          <w:tcPr>
            <w:tcW w:w="1452"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8,30</w:t>
            </w:r>
          </w:p>
        </w:tc>
        <w:tc>
          <w:tcPr>
            <w:tcW w:w="1701"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666"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16 190 188</w:t>
            </w:r>
          </w:p>
        </w:tc>
      </w:tr>
      <w:tr w:rsidR="00CA7AE8">
        <w:tc>
          <w:tcPr>
            <w:tcW w:w="675"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784"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AZST</w:t>
            </w:r>
          </w:p>
        </w:tc>
        <w:tc>
          <w:tcPr>
            <w:tcW w:w="1645"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Азовсталь (AZST)</w:t>
            </w:r>
          </w:p>
        </w:tc>
        <w:tc>
          <w:tcPr>
            <w:tcW w:w="1506"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4 204 000 000</w:t>
            </w:r>
          </w:p>
        </w:tc>
        <w:tc>
          <w:tcPr>
            <w:tcW w:w="1452"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4,10</w:t>
            </w:r>
          </w:p>
        </w:tc>
        <w:tc>
          <w:tcPr>
            <w:tcW w:w="1701"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666"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172 364 000</w:t>
            </w:r>
          </w:p>
        </w:tc>
      </w:tr>
      <w:tr w:rsidR="00CA7AE8">
        <w:tc>
          <w:tcPr>
            <w:tcW w:w="675"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784"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BAVL</w:t>
            </w:r>
          </w:p>
        </w:tc>
        <w:tc>
          <w:tcPr>
            <w:tcW w:w="1645"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Райффайзен Банк Аваль (BAVL)</w:t>
            </w:r>
          </w:p>
        </w:tc>
        <w:tc>
          <w:tcPr>
            <w:tcW w:w="1506"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30 027 749 080</w:t>
            </w:r>
          </w:p>
        </w:tc>
        <w:tc>
          <w:tcPr>
            <w:tcW w:w="1452"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3,63</w:t>
            </w:r>
          </w:p>
        </w:tc>
        <w:tc>
          <w:tcPr>
            <w:tcW w:w="1701"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666"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1 091 088 291</w:t>
            </w:r>
          </w:p>
        </w:tc>
      </w:tr>
      <w:tr w:rsidR="00CA7AE8">
        <w:tc>
          <w:tcPr>
            <w:tcW w:w="675"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784"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CEEN</w:t>
            </w:r>
          </w:p>
        </w:tc>
        <w:tc>
          <w:tcPr>
            <w:tcW w:w="1645"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Центренерго (CEEN)</w:t>
            </w:r>
          </w:p>
        </w:tc>
        <w:tc>
          <w:tcPr>
            <w:tcW w:w="1506"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369 407 108</w:t>
            </w:r>
          </w:p>
        </w:tc>
        <w:tc>
          <w:tcPr>
            <w:tcW w:w="1452"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21,71</w:t>
            </w:r>
          </w:p>
        </w:tc>
        <w:tc>
          <w:tcPr>
            <w:tcW w:w="1701"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0,96</w:t>
            </w:r>
          </w:p>
        </w:tc>
        <w:tc>
          <w:tcPr>
            <w:tcW w:w="1666"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77 134 114</w:t>
            </w:r>
          </w:p>
        </w:tc>
      </w:tr>
      <w:tr w:rsidR="00CA7AE8">
        <w:tc>
          <w:tcPr>
            <w:tcW w:w="675"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784"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DNEN</w:t>
            </w:r>
          </w:p>
        </w:tc>
        <w:tc>
          <w:tcPr>
            <w:tcW w:w="1645"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Дніпроенерго (DNEN)</w:t>
            </w:r>
          </w:p>
        </w:tc>
        <w:tc>
          <w:tcPr>
            <w:tcW w:w="1506"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5 967 432</w:t>
            </w:r>
          </w:p>
        </w:tc>
        <w:tc>
          <w:tcPr>
            <w:tcW w:w="1452"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2,10</w:t>
            </w:r>
          </w:p>
        </w:tc>
        <w:tc>
          <w:tcPr>
            <w:tcW w:w="1701"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666"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125 315</w:t>
            </w:r>
          </w:p>
        </w:tc>
      </w:tr>
      <w:tr w:rsidR="00CA7AE8">
        <w:tc>
          <w:tcPr>
            <w:tcW w:w="675"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784"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DOEN</w:t>
            </w:r>
          </w:p>
        </w:tc>
        <w:tc>
          <w:tcPr>
            <w:tcW w:w="1645"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Донбасенерго </w:t>
            </w:r>
          </w:p>
        </w:tc>
        <w:tc>
          <w:tcPr>
            <w:tcW w:w="1506"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23 644 301</w:t>
            </w:r>
          </w:p>
        </w:tc>
        <w:tc>
          <w:tcPr>
            <w:tcW w:w="1452"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14,23</w:t>
            </w:r>
          </w:p>
        </w:tc>
        <w:tc>
          <w:tcPr>
            <w:tcW w:w="1701"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666"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3 363 828</w:t>
            </w:r>
          </w:p>
        </w:tc>
      </w:tr>
      <w:tr w:rsidR="00CA7AE8">
        <w:tc>
          <w:tcPr>
            <w:tcW w:w="675"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784"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ENMZ</w:t>
            </w:r>
          </w:p>
        </w:tc>
        <w:tc>
          <w:tcPr>
            <w:tcW w:w="1645"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Єнакієвський металургійний завод (ENMZ)</w:t>
            </w:r>
          </w:p>
        </w:tc>
        <w:tc>
          <w:tcPr>
            <w:tcW w:w="1506"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10 550 688</w:t>
            </w:r>
          </w:p>
        </w:tc>
        <w:tc>
          <w:tcPr>
            <w:tcW w:w="1452"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9,37</w:t>
            </w:r>
          </w:p>
        </w:tc>
        <w:tc>
          <w:tcPr>
            <w:tcW w:w="1701"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666"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988 583</w:t>
            </w:r>
          </w:p>
        </w:tc>
      </w:tr>
      <w:tr w:rsidR="00CA7AE8">
        <w:tc>
          <w:tcPr>
            <w:tcW w:w="675"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784"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HRTR</w:t>
            </w:r>
          </w:p>
        </w:tc>
        <w:tc>
          <w:tcPr>
            <w:tcW w:w="1645"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Харцизький трубний завод</w:t>
            </w:r>
          </w:p>
        </w:tc>
        <w:tc>
          <w:tcPr>
            <w:tcW w:w="1506"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2 598 495 120</w:t>
            </w:r>
          </w:p>
        </w:tc>
        <w:tc>
          <w:tcPr>
            <w:tcW w:w="1452"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2,40</w:t>
            </w:r>
          </w:p>
        </w:tc>
        <w:tc>
          <w:tcPr>
            <w:tcW w:w="1701"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666"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62 363 883</w:t>
            </w:r>
          </w:p>
        </w:tc>
      </w:tr>
      <w:tr w:rsidR="00CA7AE8">
        <w:tc>
          <w:tcPr>
            <w:tcW w:w="675"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784"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KVBZ</w:t>
            </w:r>
          </w:p>
        </w:tc>
        <w:tc>
          <w:tcPr>
            <w:tcW w:w="1645"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Крюківський вагонобудівний завод (KVBZ)</w:t>
            </w:r>
          </w:p>
        </w:tc>
        <w:tc>
          <w:tcPr>
            <w:tcW w:w="1506"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114 679 552</w:t>
            </w:r>
          </w:p>
        </w:tc>
        <w:tc>
          <w:tcPr>
            <w:tcW w:w="1452"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10,30</w:t>
            </w:r>
          </w:p>
        </w:tc>
        <w:tc>
          <w:tcPr>
            <w:tcW w:w="1701"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666"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11 811 994</w:t>
            </w:r>
          </w:p>
        </w:tc>
      </w:tr>
      <w:tr w:rsidR="00CA7AE8">
        <w:tc>
          <w:tcPr>
            <w:tcW w:w="675"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784"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MSICH</w:t>
            </w:r>
          </w:p>
        </w:tc>
        <w:tc>
          <w:tcPr>
            <w:tcW w:w="1645"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Мотор Січ (MSICH)</w:t>
            </w:r>
          </w:p>
        </w:tc>
        <w:tc>
          <w:tcPr>
            <w:tcW w:w="1506"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2 077 990</w:t>
            </w:r>
          </w:p>
        </w:tc>
        <w:tc>
          <w:tcPr>
            <w:tcW w:w="1452"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20,00</w:t>
            </w:r>
          </w:p>
        </w:tc>
        <w:tc>
          <w:tcPr>
            <w:tcW w:w="1701"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0,54</w:t>
            </w:r>
          </w:p>
        </w:tc>
        <w:tc>
          <w:tcPr>
            <w:tcW w:w="1666"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223 109</w:t>
            </w:r>
          </w:p>
        </w:tc>
      </w:tr>
      <w:tr w:rsidR="00CA7AE8">
        <w:tc>
          <w:tcPr>
            <w:tcW w:w="675"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784"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PGOK</w:t>
            </w:r>
          </w:p>
        </w:tc>
        <w:tc>
          <w:tcPr>
            <w:tcW w:w="1645"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Полтавський ГЗК (PGOK)</w:t>
            </w:r>
          </w:p>
        </w:tc>
        <w:tc>
          <w:tcPr>
            <w:tcW w:w="1506"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191 000 000</w:t>
            </w:r>
          </w:p>
        </w:tc>
        <w:tc>
          <w:tcPr>
            <w:tcW w:w="1452"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2,57</w:t>
            </w:r>
          </w:p>
        </w:tc>
        <w:tc>
          <w:tcPr>
            <w:tcW w:w="1701"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666"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4 900 000</w:t>
            </w:r>
          </w:p>
        </w:tc>
      </w:tr>
      <w:tr w:rsidR="00CA7AE8">
        <w:tc>
          <w:tcPr>
            <w:tcW w:w="675"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w:t>
            </w:r>
          </w:p>
        </w:tc>
        <w:tc>
          <w:tcPr>
            <w:tcW w:w="784"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SGOK </w:t>
            </w:r>
          </w:p>
        </w:tc>
        <w:tc>
          <w:tcPr>
            <w:tcW w:w="1645"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Північний ГЗК</w:t>
            </w:r>
          </w:p>
        </w:tc>
        <w:tc>
          <w:tcPr>
            <w:tcW w:w="1506"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2 304 075 800</w:t>
            </w:r>
          </w:p>
        </w:tc>
        <w:tc>
          <w:tcPr>
            <w:tcW w:w="1452"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0,55</w:t>
            </w:r>
          </w:p>
        </w:tc>
        <w:tc>
          <w:tcPr>
            <w:tcW w:w="1701"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666"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12 672 417</w:t>
            </w:r>
          </w:p>
        </w:tc>
      </w:tr>
      <w:tr w:rsidR="00CA7AE8">
        <w:tc>
          <w:tcPr>
            <w:tcW w:w="675"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784"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STIR</w:t>
            </w:r>
          </w:p>
        </w:tc>
        <w:tc>
          <w:tcPr>
            <w:tcW w:w="1645"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Концерн Стирол (STIR)</w:t>
            </w:r>
          </w:p>
        </w:tc>
        <w:tc>
          <w:tcPr>
            <w:tcW w:w="1506"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27 125 280</w:t>
            </w:r>
          </w:p>
        </w:tc>
        <w:tc>
          <w:tcPr>
            <w:tcW w:w="1452"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9,61</w:t>
            </w:r>
          </w:p>
        </w:tc>
        <w:tc>
          <w:tcPr>
            <w:tcW w:w="1701"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666"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2 605 622</w:t>
            </w:r>
          </w:p>
        </w:tc>
      </w:tr>
      <w:tr w:rsidR="00CA7AE8">
        <w:tc>
          <w:tcPr>
            <w:tcW w:w="675"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784"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SVGZ</w:t>
            </w:r>
          </w:p>
        </w:tc>
        <w:tc>
          <w:tcPr>
            <w:tcW w:w="1645"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Стахановський вагонобудівний завод</w:t>
            </w:r>
          </w:p>
        </w:tc>
        <w:tc>
          <w:tcPr>
            <w:tcW w:w="1506"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226 389 510</w:t>
            </w:r>
          </w:p>
        </w:tc>
        <w:tc>
          <w:tcPr>
            <w:tcW w:w="1452"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8,00</w:t>
            </w:r>
          </w:p>
        </w:tc>
        <w:tc>
          <w:tcPr>
            <w:tcW w:w="1701"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666"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18 111 161</w:t>
            </w:r>
          </w:p>
        </w:tc>
      </w:tr>
      <w:tr w:rsidR="00CA7AE8">
        <w:tc>
          <w:tcPr>
            <w:tcW w:w="675"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w:t>
            </w:r>
          </w:p>
        </w:tc>
        <w:tc>
          <w:tcPr>
            <w:tcW w:w="784"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UNAF</w:t>
            </w:r>
          </w:p>
        </w:tc>
        <w:tc>
          <w:tcPr>
            <w:tcW w:w="1645"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Укрнафта (UNAF)</w:t>
            </w:r>
          </w:p>
        </w:tc>
        <w:tc>
          <w:tcPr>
            <w:tcW w:w="1506"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54 228 550</w:t>
            </w:r>
          </w:p>
        </w:tc>
        <w:tc>
          <w:tcPr>
            <w:tcW w:w="1452"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8,00</w:t>
            </w:r>
          </w:p>
        </w:tc>
        <w:tc>
          <w:tcPr>
            <w:tcW w:w="1701"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0,52</w:t>
            </w:r>
          </w:p>
        </w:tc>
        <w:tc>
          <w:tcPr>
            <w:tcW w:w="1666"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2 238 383</w:t>
            </w:r>
          </w:p>
        </w:tc>
      </w:tr>
      <w:tr w:rsidR="00CA7AE8">
        <w:tc>
          <w:tcPr>
            <w:tcW w:w="675"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w:t>
            </w:r>
          </w:p>
        </w:tc>
        <w:tc>
          <w:tcPr>
            <w:tcW w:w="784"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USCB</w:t>
            </w:r>
          </w:p>
        </w:tc>
        <w:tc>
          <w:tcPr>
            <w:tcW w:w="1645"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Укрсоцбанк (USCB)</w:t>
            </w:r>
          </w:p>
        </w:tc>
        <w:tc>
          <w:tcPr>
            <w:tcW w:w="1506"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12 694 986 050</w:t>
            </w:r>
          </w:p>
        </w:tc>
        <w:tc>
          <w:tcPr>
            <w:tcW w:w="1452"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4,58</w:t>
            </w:r>
          </w:p>
        </w:tc>
        <w:tc>
          <w:tcPr>
            <w:tcW w:w="1701"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666"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581 430 361</w:t>
            </w:r>
          </w:p>
        </w:tc>
      </w:tr>
      <w:tr w:rsidR="00CA7AE8">
        <w:tc>
          <w:tcPr>
            <w:tcW w:w="675"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w:t>
            </w:r>
          </w:p>
        </w:tc>
        <w:tc>
          <w:tcPr>
            <w:tcW w:w="784"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UTLM</w:t>
            </w:r>
          </w:p>
        </w:tc>
        <w:tc>
          <w:tcPr>
            <w:tcW w:w="1645"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Укртелеком (UTEL)</w:t>
            </w:r>
          </w:p>
        </w:tc>
        <w:tc>
          <w:tcPr>
            <w:tcW w:w="1506"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18 726 248 000</w:t>
            </w:r>
          </w:p>
        </w:tc>
        <w:tc>
          <w:tcPr>
            <w:tcW w:w="1452"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7,14</w:t>
            </w:r>
          </w:p>
        </w:tc>
        <w:tc>
          <w:tcPr>
            <w:tcW w:w="1701"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666"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1 336 558 512</w:t>
            </w:r>
          </w:p>
        </w:tc>
      </w:tr>
      <w:tr w:rsidR="00CA7AE8">
        <w:tc>
          <w:tcPr>
            <w:tcW w:w="675"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w:t>
            </w:r>
          </w:p>
        </w:tc>
        <w:tc>
          <w:tcPr>
            <w:tcW w:w="784"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YASK</w:t>
            </w:r>
          </w:p>
        </w:tc>
        <w:tc>
          <w:tcPr>
            <w:tcW w:w="1645"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Ясинівський коксохімічний завод (YASK)</w:t>
            </w:r>
          </w:p>
        </w:tc>
        <w:tc>
          <w:tcPr>
            <w:tcW w:w="1506"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273 598 680</w:t>
            </w:r>
          </w:p>
        </w:tc>
        <w:tc>
          <w:tcPr>
            <w:tcW w:w="1452"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8,99</w:t>
            </w:r>
          </w:p>
        </w:tc>
        <w:tc>
          <w:tcPr>
            <w:tcW w:w="1701"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666"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24 609 695</w:t>
            </w:r>
          </w:p>
        </w:tc>
      </w:tr>
      <w:tr w:rsidR="00CA7AE8">
        <w:tc>
          <w:tcPr>
            <w:tcW w:w="675"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784"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ZAEN</w:t>
            </w:r>
          </w:p>
        </w:tc>
        <w:tc>
          <w:tcPr>
            <w:tcW w:w="1645"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Західенерго (ZAEN)</w:t>
            </w:r>
          </w:p>
        </w:tc>
        <w:tc>
          <w:tcPr>
            <w:tcW w:w="1506"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12 790 541</w:t>
            </w:r>
          </w:p>
        </w:tc>
        <w:tc>
          <w:tcPr>
            <w:tcW w:w="1452"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4,09</w:t>
            </w:r>
          </w:p>
        </w:tc>
        <w:tc>
          <w:tcPr>
            <w:tcW w:w="1701"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666"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523 133</w:t>
            </w:r>
          </w:p>
        </w:tc>
      </w:tr>
    </w:tbl>
    <w:p w:rsidR="00CA7AE8" w:rsidRDefault="00CA7AE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Правила, а также все изменения и дополнения к ним, разрабатываются при участии индексной комиссии Частного акционерного общества «Фондовая биржа ПФТС», которая осуществляет свою деятельность в соответствии с Положением о Индексной комиссии Частного акционерного общества «Фондовая биржа ПФТС», утвержденного Наблюдательным Советом биржи.</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Расчет значений Индекса ПФТС осуществляется каждый торговый день в режиме реального времени при заключении соглашений с акциями, включенными в базу расчета индекса.</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Расчет значений индекса происходит с точностью до двух знаков после запятой.</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расчета индекса ПФТС используют следующую формулу []:</w:t>
      </w:r>
    </w:p>
    <w:p w:rsidR="00CA7AE8" w:rsidRDefault="000543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br w:type="page"/>
      </w:r>
      <w:r w:rsidR="004C0537">
        <w:rPr>
          <w:rFonts w:ascii="Microsoft Sans Serif" w:hAnsi="Microsoft Sans Serif" w:cs="Microsoft Sans Serif"/>
          <w:noProof/>
          <w:sz w:val="17"/>
          <w:szCs w:val="17"/>
        </w:rPr>
        <w:lastRenderedPageBreak/>
        <w:drawing>
          <wp:inline distT="0" distB="0" distL="0" distR="0">
            <wp:extent cx="3268980" cy="556260"/>
            <wp:effectExtent l="0" t="0" r="762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68980" cy="556260"/>
                    </a:xfrm>
                    <a:prstGeom prst="rect">
                      <a:avLst/>
                    </a:prstGeom>
                    <a:noFill/>
                    <a:ln>
                      <a:noFill/>
                    </a:ln>
                  </pic:spPr>
                </pic:pic>
              </a:graphicData>
            </a:graphic>
          </wp:inline>
        </w:drawing>
      </w:r>
      <w:r w:rsidR="004C0537">
        <w:rPr>
          <w:rFonts w:ascii="Microsoft Sans Serif" w:hAnsi="Microsoft Sans Serif" w:cs="Microsoft Sans Serif"/>
          <w:noProof/>
          <w:sz w:val="17"/>
          <w:szCs w:val="17"/>
        </w:rPr>
        <w:drawing>
          <wp:inline distT="0" distB="0" distL="0" distR="0">
            <wp:extent cx="3268980" cy="556260"/>
            <wp:effectExtent l="0" t="0" r="762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68980" cy="556260"/>
                    </a:xfrm>
                    <a:prstGeom prst="rect">
                      <a:avLst/>
                    </a:prstGeom>
                    <a:noFill/>
                    <a:ln>
                      <a:noFill/>
                    </a:ln>
                  </pic:spPr>
                </pic:pic>
              </a:graphicData>
            </a:graphic>
          </wp:inline>
        </w:drawing>
      </w:r>
      <w:r>
        <w:rPr>
          <w:rFonts w:ascii="Times New Roman CYR" w:hAnsi="Times New Roman CYR" w:cs="Times New Roman CYR"/>
          <w:sz w:val="28"/>
          <w:szCs w:val="28"/>
        </w:rPr>
        <w:t xml:space="preserve"> (2.9)</w:t>
      </w:r>
    </w:p>
    <w:p w:rsidR="00CA7AE8" w:rsidRDefault="00CA7AE8">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CA7AE8" w:rsidRDefault="000543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lang w:val="en-US"/>
        </w:rPr>
        <w:t>It</w:t>
      </w:r>
      <w:r>
        <w:rPr>
          <w:rFonts w:ascii="Times New Roman CYR" w:hAnsi="Times New Roman CYR" w:cs="Times New Roman CYR"/>
          <w:sz w:val="28"/>
          <w:szCs w:val="28"/>
        </w:rPr>
        <w:t>-1 - последнее значение индекса, рассчитанное за предыдущий торговый день;</w:t>
      </w:r>
    </w:p>
    <w:p w:rsidR="00CA7AE8" w:rsidRDefault="00054328">
      <w:pPr>
        <w:widowControl w:val="0"/>
        <w:autoSpaceDE w:val="0"/>
        <w:autoSpaceDN w:val="0"/>
        <w:adjustRightInd w:val="0"/>
        <w:spacing w:after="0" w:line="240" w:lineRule="auto"/>
        <w:ind w:firstLine="709"/>
        <w:rPr>
          <w:rFonts w:ascii="Times New Roman CYR" w:hAnsi="Times New Roman CYR" w:cs="Times New Roman CYR"/>
          <w:sz w:val="28"/>
          <w:szCs w:val="28"/>
          <w:lang w:val="uk-UA"/>
        </w:rPr>
      </w:pPr>
      <w:r>
        <w:rPr>
          <w:rFonts w:ascii="Times New Roman CYR" w:hAnsi="Times New Roman CYR" w:cs="Times New Roman CYR"/>
          <w:sz w:val="28"/>
          <w:szCs w:val="28"/>
          <w:lang w:val="en-US"/>
        </w:rPr>
        <w:t>Pit</w:t>
      </w:r>
      <w:r>
        <w:rPr>
          <w:rFonts w:ascii="Times New Roman CYR" w:hAnsi="Times New Roman CYR" w:cs="Times New Roman CYR"/>
          <w:sz w:val="28"/>
          <w:szCs w:val="28"/>
        </w:rPr>
        <w:t xml:space="preserve"> - цена i-той акции в гривнах на момент расчета текущего дня</w:t>
      </w:r>
      <w:r>
        <w:rPr>
          <w:rFonts w:ascii="Times New Roman CYR" w:hAnsi="Times New Roman CYR" w:cs="Times New Roman CYR"/>
          <w:sz w:val="28"/>
          <w:szCs w:val="28"/>
          <w:lang w:val="uk-UA"/>
        </w:rPr>
        <w:t>;</w:t>
      </w:r>
    </w:p>
    <w:p w:rsidR="00CA7AE8" w:rsidRDefault="00054328">
      <w:pPr>
        <w:widowControl w:val="0"/>
        <w:autoSpaceDE w:val="0"/>
        <w:autoSpaceDN w:val="0"/>
        <w:adjustRightInd w:val="0"/>
        <w:spacing w:after="0" w:line="240" w:lineRule="auto"/>
        <w:ind w:firstLine="709"/>
        <w:rPr>
          <w:rFonts w:ascii="Times New Roman CYR" w:hAnsi="Times New Roman CYR" w:cs="Times New Roman CYR"/>
          <w:sz w:val="28"/>
          <w:szCs w:val="28"/>
          <w:lang w:val="uk-UA"/>
        </w:rPr>
      </w:pPr>
      <w:r>
        <w:rPr>
          <w:rFonts w:ascii="Times New Roman CYR" w:hAnsi="Times New Roman CYR" w:cs="Times New Roman CYR"/>
          <w:sz w:val="28"/>
          <w:szCs w:val="28"/>
          <w:lang w:val="en-US"/>
        </w:rPr>
        <w:t>Pi</w:t>
      </w:r>
      <w:r>
        <w:rPr>
          <w:rFonts w:ascii="Times New Roman CYR" w:hAnsi="Times New Roman CYR" w:cs="Times New Roman CYR"/>
          <w:sz w:val="28"/>
          <w:szCs w:val="28"/>
        </w:rPr>
        <w:t>(</w:t>
      </w:r>
      <w:r>
        <w:rPr>
          <w:rFonts w:ascii="Times New Roman CYR" w:hAnsi="Times New Roman CYR" w:cs="Times New Roman CYR"/>
          <w:sz w:val="28"/>
          <w:szCs w:val="28"/>
          <w:lang w:val="en-US"/>
        </w:rPr>
        <w:t>t</w:t>
      </w:r>
      <w:r>
        <w:rPr>
          <w:rFonts w:ascii="Times New Roman CYR" w:hAnsi="Times New Roman CYR" w:cs="Times New Roman CYR"/>
          <w:sz w:val="28"/>
          <w:szCs w:val="28"/>
        </w:rPr>
        <w:t xml:space="preserve">-1) - последняя цена i-той акции, рассчитанная в день </w:t>
      </w:r>
      <w:r>
        <w:rPr>
          <w:rFonts w:ascii="Times New Roman CYR" w:hAnsi="Times New Roman CYR" w:cs="Times New Roman CYR"/>
          <w:sz w:val="28"/>
          <w:szCs w:val="28"/>
          <w:lang w:val="en-US"/>
        </w:rPr>
        <w:t>t</w:t>
      </w:r>
      <w:r>
        <w:rPr>
          <w:rFonts w:ascii="Times New Roman CYR" w:hAnsi="Times New Roman CYR" w:cs="Times New Roman CYR"/>
          <w:sz w:val="28"/>
          <w:szCs w:val="28"/>
        </w:rPr>
        <w:t>-1</w:t>
      </w:r>
      <w:r>
        <w:rPr>
          <w:rFonts w:ascii="Times New Roman CYR" w:hAnsi="Times New Roman CYR" w:cs="Times New Roman CYR"/>
          <w:sz w:val="28"/>
          <w:szCs w:val="28"/>
          <w:lang w:val="uk-UA"/>
        </w:rPr>
        <w:t>;</w:t>
      </w:r>
    </w:p>
    <w:p w:rsidR="00CA7AE8" w:rsidRDefault="000543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lang w:val="en-US"/>
        </w:rPr>
        <w:t>Qit</w:t>
      </w:r>
      <w:r>
        <w:rPr>
          <w:rFonts w:ascii="Times New Roman CYR" w:hAnsi="Times New Roman CYR" w:cs="Times New Roman CYR"/>
          <w:sz w:val="28"/>
          <w:szCs w:val="28"/>
        </w:rPr>
        <w:t xml:space="preserve"> - объем акций i-того эмитента, которые находятся в обращении;</w:t>
      </w:r>
    </w:p>
    <w:p w:rsidR="00CA7AE8" w:rsidRDefault="000543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lang w:val="en-US"/>
        </w:rPr>
        <w:t>Wit</w:t>
      </w:r>
      <w:r>
        <w:rPr>
          <w:rFonts w:ascii="Times New Roman CYR" w:hAnsi="Times New Roman CYR" w:cs="Times New Roman CYR"/>
          <w:sz w:val="28"/>
          <w:szCs w:val="28"/>
          <w:lang w:val="uk-UA"/>
        </w:rPr>
        <w:t xml:space="preserve"> - весовой коэффициент </w:t>
      </w:r>
      <w:r>
        <w:rPr>
          <w:rFonts w:ascii="Times New Roman CYR" w:hAnsi="Times New Roman CYR" w:cs="Times New Roman CYR"/>
          <w:sz w:val="28"/>
          <w:szCs w:val="28"/>
        </w:rPr>
        <w:t>i-той акции;</w:t>
      </w:r>
    </w:p>
    <w:p w:rsidR="00CA7AE8" w:rsidRDefault="00054328">
      <w:pPr>
        <w:widowControl w:val="0"/>
        <w:autoSpaceDE w:val="0"/>
        <w:autoSpaceDN w:val="0"/>
        <w:adjustRightInd w:val="0"/>
        <w:spacing w:after="0" w:line="240" w:lineRule="auto"/>
        <w:ind w:firstLine="709"/>
        <w:rPr>
          <w:rFonts w:ascii="Times New Roman CYR" w:hAnsi="Times New Roman CYR" w:cs="Times New Roman CYR"/>
          <w:sz w:val="28"/>
          <w:szCs w:val="28"/>
          <w:lang w:val="uk-UA"/>
        </w:rPr>
      </w:pPr>
      <w:r>
        <w:rPr>
          <w:rFonts w:ascii="Times New Roman CYR" w:hAnsi="Times New Roman CYR" w:cs="Times New Roman CYR"/>
          <w:sz w:val="28"/>
          <w:szCs w:val="28"/>
          <w:lang w:val="en-US"/>
        </w:rPr>
        <w:t>FFit</w:t>
      </w:r>
      <w:r>
        <w:rPr>
          <w:rFonts w:ascii="Times New Roman CYR" w:hAnsi="Times New Roman CYR" w:cs="Times New Roman CYR"/>
          <w:sz w:val="28"/>
          <w:szCs w:val="28"/>
        </w:rPr>
        <w:t xml:space="preserve">- </w:t>
      </w:r>
      <w:r>
        <w:rPr>
          <w:rFonts w:ascii="Times New Roman CYR" w:hAnsi="Times New Roman CYR" w:cs="Times New Roman CYR"/>
          <w:sz w:val="28"/>
          <w:szCs w:val="28"/>
          <w:lang w:val="uk-UA"/>
        </w:rPr>
        <w:t>коэффициент free-float i-той акции;</w:t>
      </w:r>
    </w:p>
    <w:p w:rsidR="00CA7AE8" w:rsidRDefault="000543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lang w:val="uk-UA"/>
        </w:rPr>
        <w:t>М-</w:t>
      </w:r>
      <w:r>
        <w:rPr>
          <w:rFonts w:ascii="Times New Roman CYR" w:hAnsi="Times New Roman CYR" w:cs="Times New Roman CYR"/>
          <w:sz w:val="28"/>
          <w:szCs w:val="28"/>
        </w:rPr>
        <w:t xml:space="preserve"> число акций в Списке ценных бумаг.</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Индекс ПФТС за прошлый год снизился на 45,19% - с 975,08 до 534,43 пункта (в 2010 г. Индекс ПФТС вырос на 70,2%).</w:t>
      </w:r>
      <w:r>
        <w:rPr>
          <w:rFonts w:ascii="Times New Roman CYR" w:hAnsi="Times New Roman CYR" w:cs="Times New Roman CYR"/>
          <w:sz w:val="28"/>
          <w:szCs w:val="28"/>
          <w:lang w:val="uk-UA"/>
        </w:rPr>
        <w:t xml:space="preserve"> </w:t>
      </w:r>
      <w:r>
        <w:rPr>
          <w:rFonts w:ascii="Times New Roman CYR" w:hAnsi="Times New Roman CYR" w:cs="Times New Roman CYR"/>
          <w:sz w:val="28"/>
          <w:szCs w:val="28"/>
        </w:rPr>
        <w:t>И как видно из рис.</w:t>
      </w:r>
      <w:r>
        <w:rPr>
          <w:rFonts w:ascii="Times New Roman CYR" w:hAnsi="Times New Roman CYR" w:cs="Times New Roman CYR"/>
          <w:sz w:val="28"/>
          <w:szCs w:val="28"/>
          <w:lang w:val="uk-UA"/>
        </w:rPr>
        <w:t>2.7 п</w:t>
      </w:r>
      <w:r>
        <w:rPr>
          <w:rFonts w:ascii="Times New Roman CYR" w:hAnsi="Times New Roman CYR" w:cs="Times New Roman CYR"/>
          <w:sz w:val="28"/>
          <w:szCs w:val="28"/>
        </w:rPr>
        <w:t>родолжает снижаться.</w:t>
      </w:r>
    </w:p>
    <w:p w:rsidR="00CA7AE8" w:rsidRDefault="00CA7AE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p>
    <w:p w:rsidR="00CA7AE8" w:rsidRDefault="004C0537">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Microsoft Sans Serif" w:hAnsi="Microsoft Sans Serif" w:cs="Microsoft Sans Serif"/>
          <w:noProof/>
          <w:sz w:val="17"/>
          <w:szCs w:val="17"/>
        </w:rPr>
        <w:drawing>
          <wp:inline distT="0" distB="0" distL="0" distR="0">
            <wp:extent cx="5120640" cy="2286000"/>
            <wp:effectExtent l="0" t="0" r="381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20640" cy="2286000"/>
                    </a:xfrm>
                    <a:prstGeom prst="rect">
                      <a:avLst/>
                    </a:prstGeom>
                    <a:noFill/>
                    <a:ln>
                      <a:noFill/>
                    </a:ln>
                  </pic:spPr>
                </pic:pic>
              </a:graphicData>
            </a:graphic>
          </wp:inline>
        </w:drawing>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2.7 Динамика изменений индекса ПФТС с 01.05.2011 по 01.04.2012</w:t>
      </w:r>
    </w:p>
    <w:p w:rsidR="00CA7AE8" w:rsidRDefault="00CA7AE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«индикаторами здоровья» фондового рынка являются фондовые индексы. Аналитики используют их для анализа динамики рынка и отслеживания его тенденций. Ниже приведены индексы Америки, Германии, </w:t>
      </w:r>
      <w:r>
        <w:rPr>
          <w:rFonts w:ascii="Times New Roman CYR" w:hAnsi="Times New Roman CYR" w:cs="Times New Roman CYR"/>
          <w:sz w:val="28"/>
          <w:szCs w:val="28"/>
        </w:rPr>
        <w:lastRenderedPageBreak/>
        <w:t>Франции, Азии, России и Украины за IV квартал 2011 года (табл.2.4). Показатели украинских индексов за 2011 год значительно снизились по сравнению с остальными индексами.</w:t>
      </w:r>
    </w:p>
    <w:p w:rsidR="00CA7AE8" w:rsidRDefault="00CA7AE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2.4.</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Динамика мировых фондовых индексов, IV квартал 2011 года [10]</w:t>
      </w:r>
    </w:p>
    <w:tbl>
      <w:tblPr>
        <w:tblW w:w="0" w:type="auto"/>
        <w:tblInd w:w="-100" w:type="dxa"/>
        <w:tblBorders>
          <w:top w:val="single" w:sz="4" w:space="0" w:color="000000"/>
          <w:left w:val="single" w:sz="4" w:space="0" w:color="000000"/>
          <w:bottom w:val="single" w:sz="4" w:space="0" w:color="000000"/>
          <w:right w:val="single" w:sz="4" w:space="0" w:color="000000"/>
        </w:tblBorders>
        <w:tblLayout w:type="fixed"/>
        <w:tblCellMar>
          <w:left w:w="0" w:type="dxa"/>
          <w:right w:w="0" w:type="dxa"/>
        </w:tblCellMar>
        <w:tblLook w:val="0000" w:firstRow="0" w:lastRow="0" w:firstColumn="0" w:lastColumn="0" w:noHBand="0" w:noVBand="0"/>
      </w:tblPr>
      <w:tblGrid>
        <w:gridCol w:w="1701"/>
        <w:gridCol w:w="1418"/>
        <w:gridCol w:w="1701"/>
        <w:gridCol w:w="1559"/>
        <w:gridCol w:w="1559"/>
      </w:tblGrid>
      <w:tr w:rsidR="00CA7AE8">
        <w:tc>
          <w:tcPr>
            <w:tcW w:w="1701"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регион/ индекс</w:t>
            </w:r>
          </w:p>
        </w:tc>
        <w:tc>
          <w:tcPr>
            <w:tcW w:w="1418"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31.12.2011</w:t>
            </w:r>
          </w:p>
        </w:tc>
        <w:tc>
          <w:tcPr>
            <w:tcW w:w="1701"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30.09.2011</w:t>
            </w:r>
          </w:p>
        </w:tc>
        <w:tc>
          <w:tcPr>
            <w:tcW w:w="1559"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изменение</w:t>
            </w:r>
          </w:p>
        </w:tc>
        <w:tc>
          <w:tcPr>
            <w:tcW w:w="1559"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c</w:t>
            </w:r>
            <w:r>
              <w:rPr>
                <w:rFonts w:ascii="Times New Roman CYR" w:hAnsi="Times New Roman CYR" w:cs="Times New Roman CYR"/>
                <w:sz w:val="20"/>
                <w:szCs w:val="20"/>
              </w:rPr>
              <w:t xml:space="preserve"> начала года</w:t>
            </w:r>
          </w:p>
        </w:tc>
      </w:tr>
      <w:tr w:rsidR="00CA7AE8">
        <w:tc>
          <w:tcPr>
            <w:tcW w:w="7938" w:type="dxa"/>
            <w:gridSpan w:val="5"/>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Америка</w:t>
            </w:r>
          </w:p>
        </w:tc>
      </w:tr>
      <w:tr w:rsidR="00CA7AE8">
        <w:tc>
          <w:tcPr>
            <w:tcW w:w="1701"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 xml:space="preserve">S&amp;P </w:t>
            </w:r>
            <w:r>
              <w:rPr>
                <w:rFonts w:ascii="Times New Roman CYR" w:hAnsi="Times New Roman CYR" w:cs="Times New Roman CYR"/>
                <w:sz w:val="20"/>
                <w:szCs w:val="20"/>
              </w:rPr>
              <w:t>500</w:t>
            </w:r>
          </w:p>
        </w:tc>
        <w:tc>
          <w:tcPr>
            <w:tcW w:w="1418"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1259,42</w:t>
            </w:r>
          </w:p>
        </w:tc>
        <w:tc>
          <w:tcPr>
            <w:tcW w:w="1701"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1131,81</w:t>
            </w:r>
          </w:p>
        </w:tc>
        <w:tc>
          <w:tcPr>
            <w:tcW w:w="1559"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11,27%</w:t>
            </w:r>
          </w:p>
        </w:tc>
        <w:tc>
          <w:tcPr>
            <w:tcW w:w="1559"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0,13%</w:t>
            </w:r>
          </w:p>
        </w:tc>
      </w:tr>
      <w:tr w:rsidR="00CA7AE8">
        <w:tc>
          <w:tcPr>
            <w:tcW w:w="1701"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DJ Industrial</w:t>
            </w:r>
          </w:p>
        </w:tc>
        <w:tc>
          <w:tcPr>
            <w:tcW w:w="1418"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12229,44</w:t>
            </w:r>
          </w:p>
        </w:tc>
        <w:tc>
          <w:tcPr>
            <w:tcW w:w="1701"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10913,38</w:t>
            </w:r>
          </w:p>
        </w:tc>
        <w:tc>
          <w:tcPr>
            <w:tcW w:w="1559"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12,06%</w:t>
            </w:r>
          </w:p>
        </w:tc>
        <w:tc>
          <w:tcPr>
            <w:tcW w:w="1559"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5,60%</w:t>
            </w:r>
          </w:p>
        </w:tc>
      </w:tr>
      <w:tr w:rsidR="00CA7AE8">
        <w:tc>
          <w:tcPr>
            <w:tcW w:w="1701"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BOVESPA</w:t>
            </w:r>
          </w:p>
        </w:tc>
        <w:tc>
          <w:tcPr>
            <w:tcW w:w="1418"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56754,08</w:t>
            </w:r>
          </w:p>
        </w:tc>
        <w:tc>
          <w:tcPr>
            <w:tcW w:w="1701"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52186,14</w:t>
            </w:r>
          </w:p>
        </w:tc>
        <w:tc>
          <w:tcPr>
            <w:tcW w:w="1559"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8,75%</w:t>
            </w:r>
          </w:p>
        </w:tc>
        <w:tc>
          <w:tcPr>
            <w:tcW w:w="1559"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-18,11%</w:t>
            </w:r>
          </w:p>
        </w:tc>
      </w:tr>
      <w:tr w:rsidR="00CA7AE8">
        <w:tc>
          <w:tcPr>
            <w:tcW w:w="7938" w:type="dxa"/>
            <w:gridSpan w:val="5"/>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Европа</w:t>
            </w:r>
          </w:p>
        </w:tc>
      </w:tr>
      <w:tr w:rsidR="00CA7AE8">
        <w:tc>
          <w:tcPr>
            <w:tcW w:w="1701"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DAX30</w:t>
            </w:r>
          </w:p>
        </w:tc>
        <w:tc>
          <w:tcPr>
            <w:tcW w:w="1418"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5898,35</w:t>
            </w:r>
          </w:p>
        </w:tc>
        <w:tc>
          <w:tcPr>
            <w:tcW w:w="1701"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5502,02</w:t>
            </w:r>
          </w:p>
        </w:tc>
        <w:tc>
          <w:tcPr>
            <w:tcW w:w="1559"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7,20%</w:t>
            </w:r>
          </w:p>
        </w:tc>
        <w:tc>
          <w:tcPr>
            <w:tcW w:w="1559"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-14,69%</w:t>
            </w:r>
          </w:p>
        </w:tc>
      </w:tr>
      <w:tr w:rsidR="00CA7AE8">
        <w:tc>
          <w:tcPr>
            <w:tcW w:w="1701"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 xml:space="preserve">FTSE </w:t>
            </w:r>
            <w:r>
              <w:rPr>
                <w:rFonts w:ascii="Times New Roman CYR" w:hAnsi="Times New Roman CYR" w:cs="Times New Roman CYR"/>
                <w:sz w:val="20"/>
                <w:szCs w:val="20"/>
              </w:rPr>
              <w:t>100</w:t>
            </w:r>
          </w:p>
        </w:tc>
        <w:tc>
          <w:tcPr>
            <w:tcW w:w="1418"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5572,28</w:t>
            </w:r>
          </w:p>
        </w:tc>
        <w:tc>
          <w:tcPr>
            <w:tcW w:w="1701"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5128,48</w:t>
            </w:r>
          </w:p>
        </w:tc>
        <w:tc>
          <w:tcPr>
            <w:tcW w:w="1559"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8,65%</w:t>
            </w:r>
          </w:p>
        </w:tc>
        <w:tc>
          <w:tcPr>
            <w:tcW w:w="1559"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-5,55%</w:t>
            </w:r>
          </w:p>
        </w:tc>
      </w:tr>
      <w:tr w:rsidR="00CA7AE8">
        <w:tc>
          <w:tcPr>
            <w:tcW w:w="7938" w:type="dxa"/>
            <w:gridSpan w:val="5"/>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Азия</w:t>
            </w:r>
          </w:p>
        </w:tc>
      </w:tr>
      <w:tr w:rsidR="00CA7AE8">
        <w:tc>
          <w:tcPr>
            <w:tcW w:w="1701"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 xml:space="preserve">Nikkei </w:t>
            </w:r>
            <w:r>
              <w:rPr>
                <w:rFonts w:ascii="Times New Roman CYR" w:hAnsi="Times New Roman CYR" w:cs="Times New Roman CYR"/>
                <w:sz w:val="20"/>
                <w:szCs w:val="20"/>
              </w:rPr>
              <w:t>225</w:t>
            </w:r>
          </w:p>
        </w:tc>
        <w:tc>
          <w:tcPr>
            <w:tcW w:w="1418"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8455,35</w:t>
            </w:r>
          </w:p>
        </w:tc>
        <w:tc>
          <w:tcPr>
            <w:tcW w:w="1701"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8700,29</w:t>
            </w:r>
          </w:p>
        </w:tc>
        <w:tc>
          <w:tcPr>
            <w:tcW w:w="1559"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-2,82%</w:t>
            </w:r>
          </w:p>
        </w:tc>
        <w:tc>
          <w:tcPr>
            <w:tcW w:w="1559"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-17,34%</w:t>
            </w:r>
          </w:p>
        </w:tc>
      </w:tr>
      <w:tr w:rsidR="00CA7AE8">
        <w:tc>
          <w:tcPr>
            <w:tcW w:w="1701"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Hang Seng</w:t>
            </w:r>
          </w:p>
        </w:tc>
        <w:tc>
          <w:tcPr>
            <w:tcW w:w="1418"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18434,39</w:t>
            </w:r>
          </w:p>
        </w:tc>
        <w:tc>
          <w:tcPr>
            <w:tcW w:w="1701"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17592,41</w:t>
            </w:r>
          </w:p>
        </w:tc>
        <w:tc>
          <w:tcPr>
            <w:tcW w:w="1559"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4,79%</w:t>
            </w:r>
          </w:p>
        </w:tc>
        <w:tc>
          <w:tcPr>
            <w:tcW w:w="1559"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-19,97%</w:t>
            </w:r>
          </w:p>
        </w:tc>
      </w:tr>
      <w:tr w:rsidR="00CA7AE8">
        <w:tc>
          <w:tcPr>
            <w:tcW w:w="7938" w:type="dxa"/>
            <w:gridSpan w:val="5"/>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Россия</w:t>
            </w:r>
          </w:p>
        </w:tc>
      </w:tr>
      <w:tr w:rsidR="00CA7AE8">
        <w:tc>
          <w:tcPr>
            <w:tcW w:w="1701"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ММВБ</w:t>
            </w:r>
          </w:p>
        </w:tc>
        <w:tc>
          <w:tcPr>
            <w:tcW w:w="1418"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1402,23</w:t>
            </w:r>
          </w:p>
        </w:tc>
        <w:tc>
          <w:tcPr>
            <w:tcW w:w="1701"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1366,54</w:t>
            </w:r>
          </w:p>
        </w:tc>
        <w:tc>
          <w:tcPr>
            <w:tcW w:w="1559"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2,61%</w:t>
            </w:r>
          </w:p>
        </w:tc>
        <w:tc>
          <w:tcPr>
            <w:tcW w:w="1559"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-16,93%</w:t>
            </w:r>
          </w:p>
        </w:tc>
      </w:tr>
      <w:tr w:rsidR="00CA7AE8">
        <w:tc>
          <w:tcPr>
            <w:tcW w:w="1701"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RTSI</w:t>
            </w:r>
          </w:p>
        </w:tc>
        <w:tc>
          <w:tcPr>
            <w:tcW w:w="1418"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1380,49</w:t>
            </w:r>
          </w:p>
        </w:tc>
        <w:tc>
          <w:tcPr>
            <w:tcW w:w="1701"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1333,53</w:t>
            </w:r>
          </w:p>
        </w:tc>
        <w:tc>
          <w:tcPr>
            <w:tcW w:w="1559"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3,52%</w:t>
            </w:r>
          </w:p>
        </w:tc>
        <w:tc>
          <w:tcPr>
            <w:tcW w:w="1559"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-22,02%</w:t>
            </w:r>
          </w:p>
        </w:tc>
      </w:tr>
      <w:tr w:rsidR="00CA7AE8">
        <w:tc>
          <w:tcPr>
            <w:tcW w:w="7938" w:type="dxa"/>
            <w:gridSpan w:val="5"/>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Украина</w:t>
            </w:r>
          </w:p>
        </w:tc>
      </w:tr>
      <w:tr w:rsidR="00CA7AE8">
        <w:tc>
          <w:tcPr>
            <w:tcW w:w="1701"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PFTS</w:t>
            </w:r>
          </w:p>
        </w:tc>
        <w:tc>
          <w:tcPr>
            <w:tcW w:w="1418"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534,43</w:t>
            </w:r>
          </w:p>
        </w:tc>
        <w:tc>
          <w:tcPr>
            <w:tcW w:w="1701"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562,32</w:t>
            </w:r>
          </w:p>
        </w:tc>
        <w:tc>
          <w:tcPr>
            <w:tcW w:w="1559"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-4,96%</w:t>
            </w:r>
          </w:p>
        </w:tc>
        <w:tc>
          <w:tcPr>
            <w:tcW w:w="1559"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-45,19%</w:t>
            </w:r>
          </w:p>
        </w:tc>
      </w:tr>
      <w:tr w:rsidR="00CA7AE8">
        <w:tc>
          <w:tcPr>
            <w:tcW w:w="1701"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UX</w:t>
            </w:r>
          </w:p>
        </w:tc>
        <w:tc>
          <w:tcPr>
            <w:tcW w:w="1418"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1458,87</w:t>
            </w:r>
          </w:p>
        </w:tc>
        <w:tc>
          <w:tcPr>
            <w:tcW w:w="1701"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1442,73</w:t>
            </w:r>
          </w:p>
        </w:tc>
        <w:tc>
          <w:tcPr>
            <w:tcW w:w="1559"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1,12%</w:t>
            </w:r>
          </w:p>
        </w:tc>
        <w:tc>
          <w:tcPr>
            <w:tcW w:w="1559"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-40,30%</w:t>
            </w:r>
          </w:p>
        </w:tc>
      </w:tr>
    </w:tbl>
    <w:p w:rsidR="00CA7AE8" w:rsidRDefault="00CA7AE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Также ориентиром, на базе которого будет выбрана стратегия участника рынка, может выступать рейтинг.</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Рейтинг фондового рынка - это оценка позиции объекта анализа по разработанной шкале показателей, которая позволяет определить на определенную дату состояние участников фондового рынка и установить их место среди других участников согласно учитывая: их потенциал, активность, рыночную позицию.</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своей сути рейтинг является аргументированной мыслью о способности и юридической обязанностью эмитента производить своевременные выплаты по основной части своих обязательств (ценные бумаги долгового характера) и проценты по ним. Назначение рейтинга - проводить ранжирование в рамках </w:t>
      </w:r>
      <w:r>
        <w:rPr>
          <w:rFonts w:ascii="Times New Roman CYR" w:hAnsi="Times New Roman CYR" w:cs="Times New Roman CYR"/>
          <w:sz w:val="28"/>
          <w:szCs w:val="28"/>
        </w:rPr>
        <w:lastRenderedPageBreak/>
        <w:t>единой системы относительных уровней риска долговых ценных бумаг и их эмитентов. Таким образом, речь идет об анализе возможности эмитента получать в будущем достаточные доходы. Но следует помнить, что публикация рейтинга - это не совет купить или продать тот или иной ценная бумага, рейтинг - это "информация к сведению" для инвесторов, управляющих портфелями ценных бумаг и других участников фондового рынка.</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рейтинг попадают только те ценные бумаги, по которым эмитент несет фиксированные обязательства перед инвесторами, так как только в данном случае возникает необходимость в оценке рисков невыполнения данных обязательств. Соответственно объектами рейтинга являются облигации (предприятий и муниципальные), привилегированные акции, коммерческие бумаги (необеспеченные ценные бумаги, серийные финансовые векселя), депозитные и сберегательные сертификаты.</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Рейтинг оценивает риск невыполнения эмитентом своих обязательств, связанных с ценными бумагами, и, соответственно, риск потерь инвесторов основной суммы и процентов (кредитный риск). Рейтинг не измеряет конкретной величины риска потерь, не выступает количественным прогнозом, степени их вероятности. Рейтинг - это лишь сравнительная оценка уровней риска по различным ценным бумагам, способ их сопоставления между собой величинами кредитных рисков. [6, </w:t>
      </w:r>
      <w:r>
        <w:rPr>
          <w:rFonts w:ascii="Times New Roman CYR" w:hAnsi="Times New Roman CYR" w:cs="Times New Roman CYR"/>
          <w:sz w:val="28"/>
          <w:szCs w:val="28"/>
          <w:lang w:val="en-US"/>
        </w:rPr>
        <w:t>c</w:t>
      </w:r>
      <w:r>
        <w:rPr>
          <w:rFonts w:ascii="Times New Roman CYR" w:hAnsi="Times New Roman CYR" w:cs="Times New Roman CYR"/>
          <w:sz w:val="28"/>
          <w:szCs w:val="28"/>
        </w:rPr>
        <w:t>. 143]</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Выделяют две основные группы объектов рейтинговых оценок финансового рынка - это рейтинги ценных бумаг и финансовых позиций участников рынка. В свою очередь, рейтинги ценных бумаг дифференцируются в зависимости от их видов (паевые, долговые, производные). Рейтинг не измеряет валютного и процентного риска, риска ликвидности, а также не дает оценки будущим изменениям курса ценной бумаги. Любое рейтинговое агентство делит свою шкалу рейтинга между двумя классами ценных бумаг: ценные бумаги </w:t>
      </w:r>
      <w:r>
        <w:rPr>
          <w:rFonts w:ascii="Times New Roman CYR" w:hAnsi="Times New Roman CYR" w:cs="Times New Roman CYR"/>
          <w:sz w:val="28"/>
          <w:szCs w:val="28"/>
        </w:rPr>
        <w:lastRenderedPageBreak/>
        <w:t>инвестиционного качества (инвестиционные ценные бумаги); спекулятивные ценные бумаги. Каждый из этих классов имеет свой символ по классификации инвестиционных агентств.</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странах с развитыми фондовыми рынками широко используются рейтинговые оценки акций и облигаций. Доверие к рейтингам ведущих консалтинговых фирм очень высоко, поэтому отнесение ценных бумаг к соответствующему классу само по себе может влиять на их стоимость. []</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данным национальной комиссии по ценным бумагам и фондовому рынку (НКЦБФР), уполномоченными рейтинговыми агентствами являются: ООО Украинское кредитно-рейтинговое агентство, ООО Стандарт Рейтинг и ООО Кредит Рейтинг. Эти агентства имеют право определять обязательные по закону рейтинговые оценки эмитентов и ценных бумаг.</w:t>
      </w:r>
    </w:p>
    <w:p w:rsidR="00CA7AE8" w:rsidRDefault="00CA7AE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2.3 Анализ деятельности фондовых бирж в Украине</w:t>
      </w:r>
    </w:p>
    <w:p w:rsidR="00CA7AE8" w:rsidRDefault="00CA7AE8">
      <w:pPr>
        <w:widowControl w:val="0"/>
        <w:shd w:val="clear" w:color="000000" w:fill="auto"/>
        <w:suppressAutoHyphens/>
        <w:autoSpaceDE w:val="0"/>
        <w:autoSpaceDN w:val="0"/>
        <w:adjustRightInd w:val="0"/>
        <w:spacing w:after="0" w:line="360" w:lineRule="auto"/>
        <w:ind w:firstLine="709"/>
        <w:jc w:val="both"/>
        <w:rPr>
          <w:rFonts w:ascii="Calibri" w:hAnsi="Calibri" w:cs="Calibri"/>
          <w:sz w:val="28"/>
          <w:szCs w:val="28"/>
        </w:rPr>
      </w:pP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Со времен основания фондовых бирж Украины не происходило качественных сдвигов, и по этой причине они не выполняют присущие им функций относительно привлечения, перераспределения капитала и его направление в реальный сектор. Неразвитость фондовых бирж в Украине сдерживает экономическое развитие, поступление иностранных инвестиций, повышение эффективности перераспределения средств в экономике. При таких условиях вопрос развития фондовых бирж, обеспечения их прочности и стойкости к внешним факторам остается особенно актуальным.</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Динамика и проблемы деятельности фондовых бирж в Украине исследованы недостаточно. Более детального анализа нуждается вопрос особенностей определения капитализации фондовых бирж, факторов влияния на их развитие, методов обеспечения их экономического роста и возможностей их </w:t>
      </w:r>
      <w:r>
        <w:rPr>
          <w:rFonts w:ascii="Times New Roman CYR" w:hAnsi="Times New Roman CYR" w:cs="Times New Roman CYR"/>
          <w:noProof/>
          <w:sz w:val="28"/>
          <w:szCs w:val="28"/>
        </w:rPr>
        <w:lastRenderedPageBreak/>
        <w:t>использования в Украине.</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noProof/>
          <w:sz w:val="28"/>
          <w:szCs w:val="28"/>
        </w:rPr>
        <w:t xml:space="preserve">Как отмечалось ранее в Украине по состоянию на 2011 год действуют такие фондовые биржи: </w:t>
      </w:r>
      <w:r>
        <w:rPr>
          <w:rFonts w:ascii="Times New Roman CYR" w:hAnsi="Times New Roman CYR" w:cs="Times New Roman CYR"/>
          <w:sz w:val="28"/>
          <w:szCs w:val="28"/>
          <w:lang w:val="uk-UA"/>
        </w:rPr>
        <w:t>ПАО «Українська біржа», ПАО «Фондова біржа» ПФТС», ПАО «Фондова біржа «Перспектива», ЧАО "Українська міжбанківська валютна біржа", ЧАО «Українська фондова біржа», ПАО «Київська міжнародна фондова біржа», ЧАО «Фондова біржа «ІННЕКС», ЧАО «Придніпровська фондова біржа», ПАО «Східно-Європейська фондова біржа», ЧАО «Українська Міжнародна Фондова Біржа».</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 показателем мощности функционирования фондовой биржи можно назвать капитализацию, которая предусматривает оценку ее развития и конкурентоспособности на внутреннем и внешнем рынках. Сравнительно со странами с развитой рыночной экономикой, капитализация фондовых бирж Украины чрезвычайно низка и составляет лишь 0,4% от совокупного мирового ВВП, в то время как США - 21,1%, Японии - 7%, Германии - 4,5%, России - 2,6% . Такой низкий уровень капитализации фондовых бирж Украины обусловлен особенностями становления и развития рынка ценных бумаг в стране, его раздробленностью и неустроенностью.</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Основными, наиболее прогрессивными биржами, которые владеют передовыми технологиями проведения торгов с ценными бумагами, на данный момент в Украине являются: «Українська біржа», «Фондова біржа» ПФТС» и «Фондова біржа «Перспектива».</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Объемы проведения операций с ценными бумагами на организованном и неорганизованном рынках, относительно деятельности торговцев ценными бумагами можно увидеть на рис.2.6 (информация представлена за 2011 г.). [3]</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 рис. 2.6 видно, что объемы выполнения договоров торговцами ценными бумагами на неорганизованном рынке на данный момент являются преобладающими и составляют 75,24% от общего объема. Это является </w:t>
      </w:r>
      <w:r>
        <w:rPr>
          <w:rFonts w:ascii="Times New Roman CYR" w:hAnsi="Times New Roman CYR" w:cs="Times New Roman CYR"/>
          <w:sz w:val="28"/>
          <w:szCs w:val="28"/>
        </w:rPr>
        <w:lastRenderedPageBreak/>
        <w:t>показателем того, в нашей стране еще недостаточно развита биржевая торговля и существуют определенные сложности перехода к новым способам и методам заключения сделок купли - продажи ценных бумаг.</w:t>
      </w:r>
    </w:p>
    <w:p w:rsidR="00CA7AE8" w:rsidRDefault="000543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br w:type="page"/>
      </w:r>
      <w:r w:rsidR="004C0537">
        <w:rPr>
          <w:rFonts w:ascii="Microsoft Sans Serif" w:hAnsi="Microsoft Sans Serif" w:cs="Microsoft Sans Serif"/>
          <w:noProof/>
          <w:sz w:val="17"/>
          <w:szCs w:val="17"/>
        </w:rPr>
        <w:lastRenderedPageBreak/>
        <w:drawing>
          <wp:inline distT="0" distB="0" distL="0" distR="0">
            <wp:extent cx="3299460" cy="2049780"/>
            <wp:effectExtent l="0" t="0" r="0" b="762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99460" cy="2049780"/>
                    </a:xfrm>
                    <a:prstGeom prst="rect">
                      <a:avLst/>
                    </a:prstGeom>
                    <a:noFill/>
                    <a:ln>
                      <a:noFill/>
                    </a:ln>
                  </pic:spPr>
                </pic:pic>
              </a:graphicData>
            </a:graphic>
          </wp:inline>
        </w:drawing>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2.6 Структура деятельности предприятий на биржах и неорганизованном фондовом рынке (построено на основе данных источника [32])</w:t>
      </w:r>
    </w:p>
    <w:p w:rsidR="00CA7AE8" w:rsidRDefault="00CA7AE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Объем торгов на фондовых биржах Украины представлен в таблице 2.5. Исходя из данных, можно проанализировать изменение объема торгов за 7 лет.</w:t>
      </w:r>
    </w:p>
    <w:p w:rsidR="00CA7AE8" w:rsidRDefault="00CA7AE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2.5</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Объемы торгов на организаторах торговли за 2005 - 2011 год (составлено на основе источника [48]) (млн. грн.)</w:t>
      </w:r>
    </w:p>
    <w:tbl>
      <w:tblPr>
        <w:tblW w:w="0" w:type="auto"/>
        <w:tblInd w:w="-100" w:type="dxa"/>
        <w:tblBorders>
          <w:top w:val="single" w:sz="4" w:space="0" w:color="000000"/>
          <w:left w:val="single" w:sz="4" w:space="0" w:color="000000"/>
          <w:bottom w:val="single" w:sz="4" w:space="0" w:color="000000"/>
          <w:right w:val="single" w:sz="4" w:space="0" w:color="000000"/>
        </w:tblBorders>
        <w:tblLayout w:type="fixed"/>
        <w:tblCellMar>
          <w:left w:w="0" w:type="dxa"/>
          <w:right w:w="0" w:type="dxa"/>
        </w:tblCellMar>
        <w:tblLook w:val="0000" w:firstRow="0" w:lastRow="0" w:firstColumn="0" w:lastColumn="0" w:noHBand="0" w:noVBand="0"/>
      </w:tblPr>
      <w:tblGrid>
        <w:gridCol w:w="616"/>
        <w:gridCol w:w="775"/>
        <w:gridCol w:w="1006"/>
        <w:gridCol w:w="614"/>
        <w:gridCol w:w="759"/>
        <w:gridCol w:w="783"/>
        <w:gridCol w:w="611"/>
        <w:gridCol w:w="751"/>
        <w:gridCol w:w="1209"/>
        <w:gridCol w:w="731"/>
        <w:gridCol w:w="716"/>
        <w:gridCol w:w="816"/>
      </w:tblGrid>
      <w:tr w:rsidR="00CA7AE8">
        <w:tc>
          <w:tcPr>
            <w:tcW w:w="616"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lang w:val="uk-UA"/>
              </w:rPr>
            </w:pPr>
            <w:r>
              <w:rPr>
                <w:rFonts w:ascii="Times New Roman CYR" w:hAnsi="Times New Roman CYR" w:cs="Times New Roman CYR"/>
                <w:sz w:val="20"/>
                <w:szCs w:val="20"/>
                <w:lang w:val="uk-UA"/>
              </w:rPr>
              <w:t>Год</w:t>
            </w:r>
          </w:p>
        </w:tc>
        <w:tc>
          <w:tcPr>
            <w:tcW w:w="7955" w:type="dxa"/>
            <w:gridSpan w:val="10"/>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Организатор торговли</w:t>
            </w:r>
          </w:p>
        </w:tc>
        <w:tc>
          <w:tcPr>
            <w:tcW w:w="816"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Всего</w:t>
            </w:r>
          </w:p>
        </w:tc>
      </w:tr>
      <w:tr w:rsidR="00CA7AE8">
        <w:tc>
          <w:tcPr>
            <w:tcW w:w="616"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775"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КМФБ</w:t>
            </w:r>
          </w:p>
        </w:tc>
        <w:tc>
          <w:tcPr>
            <w:tcW w:w="1006"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ИННЕКС</w:t>
            </w:r>
          </w:p>
        </w:tc>
        <w:tc>
          <w:tcPr>
            <w:tcW w:w="614"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ПФБ</w:t>
            </w:r>
          </w:p>
        </w:tc>
        <w:tc>
          <w:tcPr>
            <w:tcW w:w="759"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УМВБ</w:t>
            </w:r>
          </w:p>
        </w:tc>
        <w:tc>
          <w:tcPr>
            <w:tcW w:w="783"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УМФБ</w:t>
            </w:r>
          </w:p>
        </w:tc>
        <w:tc>
          <w:tcPr>
            <w:tcW w:w="611"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УФБ</w:t>
            </w:r>
          </w:p>
        </w:tc>
        <w:tc>
          <w:tcPr>
            <w:tcW w:w="751"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ПФТС</w:t>
            </w:r>
          </w:p>
        </w:tc>
        <w:tc>
          <w:tcPr>
            <w:tcW w:w="1209"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ПЕРСПЕКТ ИВА</w:t>
            </w:r>
          </w:p>
        </w:tc>
        <w:tc>
          <w:tcPr>
            <w:tcW w:w="731"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СЄФБ</w:t>
            </w:r>
          </w:p>
        </w:tc>
        <w:tc>
          <w:tcPr>
            <w:tcW w:w="716"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УБ</w:t>
            </w:r>
          </w:p>
        </w:tc>
        <w:tc>
          <w:tcPr>
            <w:tcW w:w="816"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CA7AE8">
        <w:tc>
          <w:tcPr>
            <w:tcW w:w="616"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w:t>
            </w:r>
          </w:p>
        </w:tc>
        <w:tc>
          <w:tcPr>
            <w:tcW w:w="775"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2081</w:t>
            </w:r>
          </w:p>
        </w:tc>
        <w:tc>
          <w:tcPr>
            <w:tcW w:w="1006"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w:t>
            </w:r>
          </w:p>
        </w:tc>
        <w:tc>
          <w:tcPr>
            <w:tcW w:w="614"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245</w:t>
            </w:r>
          </w:p>
        </w:tc>
        <w:tc>
          <w:tcPr>
            <w:tcW w:w="759"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783"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1 083</w:t>
            </w:r>
          </w:p>
        </w:tc>
        <w:tc>
          <w:tcPr>
            <w:tcW w:w="611"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396</w:t>
            </w:r>
          </w:p>
        </w:tc>
        <w:tc>
          <w:tcPr>
            <w:tcW w:w="751"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88860</w:t>
            </w:r>
          </w:p>
        </w:tc>
        <w:tc>
          <w:tcPr>
            <w:tcW w:w="1209"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79072</w:t>
            </w:r>
          </w:p>
        </w:tc>
        <w:tc>
          <w:tcPr>
            <w:tcW w:w="731"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w:t>
            </w:r>
          </w:p>
        </w:tc>
        <w:tc>
          <w:tcPr>
            <w:tcW w:w="716"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63868</w:t>
            </w:r>
          </w:p>
        </w:tc>
        <w:tc>
          <w:tcPr>
            <w:tcW w:w="816"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235840</w:t>
            </w:r>
          </w:p>
        </w:tc>
      </w:tr>
      <w:tr w:rsidR="00CA7AE8">
        <w:tc>
          <w:tcPr>
            <w:tcW w:w="616"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w:t>
            </w:r>
          </w:p>
        </w:tc>
        <w:tc>
          <w:tcPr>
            <w:tcW w:w="775"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1625</w:t>
            </w:r>
          </w:p>
        </w:tc>
        <w:tc>
          <w:tcPr>
            <w:tcW w:w="1006"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151</w:t>
            </w:r>
          </w:p>
        </w:tc>
        <w:tc>
          <w:tcPr>
            <w:tcW w:w="614"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574</w:t>
            </w:r>
          </w:p>
        </w:tc>
        <w:tc>
          <w:tcPr>
            <w:tcW w:w="759"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218</w:t>
            </w:r>
          </w:p>
        </w:tc>
        <w:tc>
          <w:tcPr>
            <w:tcW w:w="783"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1440</w:t>
            </w:r>
          </w:p>
        </w:tc>
        <w:tc>
          <w:tcPr>
            <w:tcW w:w="611"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146</w:t>
            </w:r>
          </w:p>
        </w:tc>
        <w:tc>
          <w:tcPr>
            <w:tcW w:w="751"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58663</w:t>
            </w:r>
          </w:p>
        </w:tc>
        <w:tc>
          <w:tcPr>
            <w:tcW w:w="1209"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47672</w:t>
            </w:r>
          </w:p>
        </w:tc>
        <w:tc>
          <w:tcPr>
            <w:tcW w:w="731"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149</w:t>
            </w:r>
          </w:p>
        </w:tc>
        <w:tc>
          <w:tcPr>
            <w:tcW w:w="716"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20652</w:t>
            </w:r>
          </w:p>
        </w:tc>
        <w:tc>
          <w:tcPr>
            <w:tcW w:w="816"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131290</w:t>
            </w:r>
          </w:p>
        </w:tc>
      </w:tr>
      <w:tr w:rsidR="00CA7AE8">
        <w:tc>
          <w:tcPr>
            <w:tcW w:w="616"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w:t>
            </w:r>
          </w:p>
        </w:tc>
        <w:tc>
          <w:tcPr>
            <w:tcW w:w="775"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1573</w:t>
            </w:r>
          </w:p>
        </w:tc>
        <w:tc>
          <w:tcPr>
            <w:tcW w:w="1006"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205</w:t>
            </w:r>
          </w:p>
        </w:tc>
        <w:tc>
          <w:tcPr>
            <w:tcW w:w="614"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969</w:t>
            </w:r>
          </w:p>
        </w:tc>
        <w:tc>
          <w:tcPr>
            <w:tcW w:w="759"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1829</w:t>
            </w:r>
          </w:p>
        </w:tc>
        <w:tc>
          <w:tcPr>
            <w:tcW w:w="783"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1796</w:t>
            </w:r>
          </w:p>
        </w:tc>
        <w:tc>
          <w:tcPr>
            <w:tcW w:w="611"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59</w:t>
            </w:r>
          </w:p>
        </w:tc>
        <w:tc>
          <w:tcPr>
            <w:tcW w:w="751"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13955</w:t>
            </w:r>
          </w:p>
        </w:tc>
        <w:tc>
          <w:tcPr>
            <w:tcW w:w="1209"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11412</w:t>
            </w:r>
          </w:p>
        </w:tc>
        <w:tc>
          <w:tcPr>
            <w:tcW w:w="731"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137</w:t>
            </w:r>
          </w:p>
        </w:tc>
        <w:tc>
          <w:tcPr>
            <w:tcW w:w="716"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5061</w:t>
            </w:r>
          </w:p>
        </w:tc>
        <w:tc>
          <w:tcPr>
            <w:tcW w:w="816"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37785</w:t>
            </w:r>
          </w:p>
        </w:tc>
      </w:tr>
      <w:tr w:rsidR="00CA7AE8">
        <w:tc>
          <w:tcPr>
            <w:tcW w:w="616"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2008</w:t>
            </w:r>
          </w:p>
        </w:tc>
        <w:tc>
          <w:tcPr>
            <w:tcW w:w="775"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1131</w:t>
            </w:r>
          </w:p>
        </w:tc>
        <w:tc>
          <w:tcPr>
            <w:tcW w:w="1006"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86</w:t>
            </w:r>
          </w:p>
        </w:tc>
        <w:tc>
          <w:tcPr>
            <w:tcW w:w="614"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206</w:t>
            </w:r>
          </w:p>
        </w:tc>
        <w:tc>
          <w:tcPr>
            <w:tcW w:w="759"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102</w:t>
            </w:r>
          </w:p>
        </w:tc>
        <w:tc>
          <w:tcPr>
            <w:tcW w:w="783"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530</w:t>
            </w:r>
          </w:p>
        </w:tc>
        <w:tc>
          <w:tcPr>
            <w:tcW w:w="611"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90</w:t>
            </w:r>
          </w:p>
        </w:tc>
        <w:tc>
          <w:tcPr>
            <w:tcW w:w="751"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33944</w:t>
            </w:r>
          </w:p>
        </w:tc>
        <w:tc>
          <w:tcPr>
            <w:tcW w:w="1209"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1220</w:t>
            </w:r>
          </w:p>
        </w:tc>
        <w:tc>
          <w:tcPr>
            <w:tcW w:w="731"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188</w:t>
            </w:r>
          </w:p>
        </w:tc>
        <w:tc>
          <w:tcPr>
            <w:tcW w:w="716"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16"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37502</w:t>
            </w:r>
          </w:p>
        </w:tc>
      </w:tr>
      <w:tr w:rsidR="00CA7AE8">
        <w:tc>
          <w:tcPr>
            <w:tcW w:w="616"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2007</w:t>
            </w:r>
          </w:p>
        </w:tc>
        <w:tc>
          <w:tcPr>
            <w:tcW w:w="775"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444</w:t>
            </w:r>
          </w:p>
        </w:tc>
        <w:tc>
          <w:tcPr>
            <w:tcW w:w="1006"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1244</w:t>
            </w:r>
          </w:p>
        </w:tc>
        <w:tc>
          <w:tcPr>
            <w:tcW w:w="614"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w:t>
            </w:r>
          </w:p>
        </w:tc>
        <w:tc>
          <w:tcPr>
            <w:tcW w:w="759"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56</w:t>
            </w:r>
          </w:p>
        </w:tc>
        <w:tc>
          <w:tcPr>
            <w:tcW w:w="783"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119</w:t>
            </w:r>
          </w:p>
        </w:tc>
        <w:tc>
          <w:tcPr>
            <w:tcW w:w="611"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87</w:t>
            </w:r>
          </w:p>
        </w:tc>
        <w:tc>
          <w:tcPr>
            <w:tcW w:w="751"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32247</w:t>
            </w:r>
          </w:p>
        </w:tc>
        <w:tc>
          <w:tcPr>
            <w:tcW w:w="1209"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437</w:t>
            </w:r>
          </w:p>
        </w:tc>
        <w:tc>
          <w:tcPr>
            <w:tcW w:w="731"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716"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16"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36902</w:t>
            </w:r>
          </w:p>
        </w:tc>
      </w:tr>
      <w:tr w:rsidR="00CA7AE8">
        <w:tc>
          <w:tcPr>
            <w:tcW w:w="616"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2006</w:t>
            </w:r>
          </w:p>
        </w:tc>
        <w:tc>
          <w:tcPr>
            <w:tcW w:w="775"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429</w:t>
            </w:r>
          </w:p>
        </w:tc>
        <w:tc>
          <w:tcPr>
            <w:tcW w:w="1006"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614"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759"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193</w:t>
            </w:r>
          </w:p>
        </w:tc>
        <w:tc>
          <w:tcPr>
            <w:tcW w:w="783"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w:t>
            </w:r>
          </w:p>
        </w:tc>
        <w:tc>
          <w:tcPr>
            <w:tcW w:w="611"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125</w:t>
            </w:r>
          </w:p>
        </w:tc>
        <w:tc>
          <w:tcPr>
            <w:tcW w:w="751"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26364</w:t>
            </w:r>
          </w:p>
        </w:tc>
        <w:tc>
          <w:tcPr>
            <w:tcW w:w="1209"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731"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716"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16"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27168</w:t>
            </w:r>
          </w:p>
        </w:tc>
      </w:tr>
      <w:tr w:rsidR="00CA7AE8">
        <w:tc>
          <w:tcPr>
            <w:tcW w:w="616"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2005</w:t>
            </w:r>
          </w:p>
        </w:tc>
        <w:tc>
          <w:tcPr>
            <w:tcW w:w="775"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w:t>
            </w:r>
          </w:p>
        </w:tc>
        <w:tc>
          <w:tcPr>
            <w:tcW w:w="1006"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251</w:t>
            </w:r>
          </w:p>
        </w:tc>
        <w:tc>
          <w:tcPr>
            <w:tcW w:w="614"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270</w:t>
            </w:r>
          </w:p>
        </w:tc>
        <w:tc>
          <w:tcPr>
            <w:tcW w:w="759"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141</w:t>
            </w:r>
          </w:p>
        </w:tc>
        <w:tc>
          <w:tcPr>
            <w:tcW w:w="783"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611"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776</w:t>
            </w:r>
          </w:p>
        </w:tc>
        <w:tc>
          <w:tcPr>
            <w:tcW w:w="751"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270</w:t>
            </w:r>
          </w:p>
        </w:tc>
        <w:tc>
          <w:tcPr>
            <w:tcW w:w="1209"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731"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716"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16"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13603</w:t>
            </w:r>
          </w:p>
        </w:tc>
      </w:tr>
    </w:tbl>
    <w:p w:rsidR="00CA7AE8" w:rsidRDefault="00CA7AE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Исследовав объемы торгов на организаторах торговли за 2005 - 2011 года (см. рис. 2.7), можно проследить положительную динамику и тенденцию к росту объема торгов, что очень положительно сказывается на развитии фондовых бирж в Украине.</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rPr>
        <w:lastRenderedPageBreak/>
        <w:t>Согласно оперативным данным ГКЦБФР в 2011 г. объем торгов ценными бумагами на организованном фондовом рынке Украины составил 235,84 млрд. грн., что в 1,8 раза больше соответствующего показателя 2010 г (131,29 млрд.) (см. рис. 2.7)</w:t>
      </w:r>
      <w:r>
        <w:rPr>
          <w:rFonts w:ascii="Times New Roman CYR" w:hAnsi="Times New Roman CYR" w:cs="Times New Roman CYR"/>
          <w:sz w:val="28"/>
          <w:szCs w:val="28"/>
          <w:lang w:val="en-US"/>
        </w:rPr>
        <w:t>.</w:t>
      </w:r>
    </w:p>
    <w:p w:rsidR="00CA7AE8" w:rsidRDefault="00CA7AE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CA7AE8" w:rsidRDefault="004C053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090160" cy="341376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90160" cy="3413760"/>
                    </a:xfrm>
                    <a:prstGeom prst="rect">
                      <a:avLst/>
                    </a:prstGeom>
                    <a:noFill/>
                    <a:ln>
                      <a:noFill/>
                    </a:ln>
                  </pic:spPr>
                </pic:pic>
              </a:graphicData>
            </a:graphic>
          </wp:inline>
        </w:drawing>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2.7 Динамика объёма торгов на украинских фондовых биржах (построено на основе данных таблицы 2.5)</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В 2011 г. торги ценными бумагами в Украине проводились на десяти фондовых биржах (см. рис. 2.8). Наибольший объем соглашений был заключен на ФБ ПФТС (88,86 млрд. грн., или 37,7% от общего объема торгов), в тройку лидеров прошлого года вошли также ФБ «Перспектива» - 79,29 млрд. грн. (33,5%) и «Укра</w:t>
      </w:r>
      <w:r>
        <w:rPr>
          <w:rFonts w:ascii="Times New Roman CYR" w:hAnsi="Times New Roman CYR" w:cs="Times New Roman CYR"/>
          <w:sz w:val="28"/>
          <w:szCs w:val="28"/>
          <w:lang w:val="uk-UA"/>
        </w:rPr>
        <w:t>ї</w:t>
      </w:r>
      <w:r>
        <w:rPr>
          <w:rFonts w:ascii="Times New Roman CYR" w:hAnsi="Times New Roman CYR" w:cs="Times New Roman CYR"/>
          <w:sz w:val="28"/>
          <w:szCs w:val="28"/>
        </w:rPr>
        <w:t>нс</w:t>
      </w:r>
      <w:r>
        <w:rPr>
          <w:rFonts w:ascii="Times New Roman CYR" w:hAnsi="Times New Roman CYR" w:cs="Times New Roman CYR"/>
          <w:sz w:val="28"/>
          <w:szCs w:val="28"/>
          <w:lang w:val="uk-UA"/>
        </w:rPr>
        <w:t>ь</w:t>
      </w:r>
      <w:r>
        <w:rPr>
          <w:rFonts w:ascii="Times New Roman CYR" w:hAnsi="Times New Roman CYR" w:cs="Times New Roman CYR"/>
          <w:sz w:val="28"/>
          <w:szCs w:val="28"/>
        </w:rPr>
        <w:t>ка б</w:t>
      </w:r>
      <w:r>
        <w:rPr>
          <w:rFonts w:ascii="Times New Roman CYR" w:hAnsi="Times New Roman CYR" w:cs="Times New Roman CYR"/>
          <w:sz w:val="28"/>
          <w:szCs w:val="28"/>
          <w:lang w:val="uk-UA"/>
        </w:rPr>
        <w:t>і</w:t>
      </w:r>
      <w:r>
        <w:rPr>
          <w:rFonts w:ascii="Times New Roman CYR" w:hAnsi="Times New Roman CYR" w:cs="Times New Roman CYR"/>
          <w:sz w:val="28"/>
          <w:szCs w:val="28"/>
        </w:rPr>
        <w:t>ржа» - 63,87 млрд. грн. (27,1%).</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Миллиардный рубеж также удалось преодолеть КМФБ и УМФБ, объем торгов, на которых составлял 2,08 млрд. грн. (0,9%) и 1,08 млрд. грн. (0,5%) соответственно.</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rPr>
        <w:t xml:space="preserve">Доля других бирж была незначительной и в совокупности равна 0,37% от общего объема торгов. При этом на УФБ объем торгов составил 396 млн. грн., </w:t>
      </w:r>
      <w:r>
        <w:rPr>
          <w:rFonts w:ascii="Times New Roman CYR" w:hAnsi="Times New Roman CYR" w:cs="Times New Roman CYR"/>
          <w:sz w:val="28"/>
          <w:szCs w:val="28"/>
          <w:lang w:val="uk-UA"/>
        </w:rPr>
        <w:t>н</w:t>
      </w:r>
      <w:r>
        <w:rPr>
          <w:rFonts w:ascii="Times New Roman CYR" w:hAnsi="Times New Roman CYR" w:cs="Times New Roman CYR"/>
          <w:sz w:val="28"/>
          <w:szCs w:val="28"/>
        </w:rPr>
        <w:t xml:space="preserve">а ПФБ - 245 млн. грн., </w:t>
      </w:r>
      <w:r>
        <w:rPr>
          <w:rFonts w:ascii="Times New Roman CYR" w:hAnsi="Times New Roman CYR" w:cs="Times New Roman CYR"/>
          <w:sz w:val="28"/>
          <w:szCs w:val="28"/>
          <w:lang w:val="uk-UA"/>
        </w:rPr>
        <w:t>н</w:t>
      </w:r>
      <w:r>
        <w:rPr>
          <w:rFonts w:ascii="Times New Roman CYR" w:hAnsi="Times New Roman CYR" w:cs="Times New Roman CYR"/>
          <w:sz w:val="28"/>
          <w:szCs w:val="28"/>
        </w:rPr>
        <w:t xml:space="preserve">а </w:t>
      </w:r>
      <w:r>
        <w:rPr>
          <w:rFonts w:ascii="Times New Roman CYR" w:hAnsi="Times New Roman CYR" w:cs="Times New Roman CYR"/>
          <w:sz w:val="28"/>
          <w:szCs w:val="28"/>
          <w:lang w:val="uk-UA"/>
        </w:rPr>
        <w:t>СЄ</w:t>
      </w:r>
      <w:r>
        <w:rPr>
          <w:rFonts w:ascii="Times New Roman CYR" w:hAnsi="Times New Roman CYR" w:cs="Times New Roman CYR"/>
          <w:sz w:val="28"/>
          <w:szCs w:val="28"/>
        </w:rPr>
        <w:t>ФБ - 200 млн. грн., на ФБ «</w:t>
      </w:r>
      <w:r>
        <w:rPr>
          <w:rFonts w:ascii="Times New Roman CYR" w:hAnsi="Times New Roman CYR" w:cs="Times New Roman CYR"/>
          <w:sz w:val="28"/>
          <w:szCs w:val="28"/>
          <w:lang w:val="uk-UA"/>
        </w:rPr>
        <w:t>І</w:t>
      </w:r>
      <w:r>
        <w:rPr>
          <w:rFonts w:ascii="Times New Roman CYR" w:hAnsi="Times New Roman CYR" w:cs="Times New Roman CYR"/>
          <w:sz w:val="28"/>
          <w:szCs w:val="28"/>
        </w:rPr>
        <w:t>НН</w:t>
      </w:r>
      <w:r>
        <w:rPr>
          <w:rFonts w:ascii="Times New Roman CYR" w:hAnsi="Times New Roman CYR" w:cs="Times New Roman CYR"/>
          <w:sz w:val="28"/>
          <w:szCs w:val="28"/>
          <w:lang w:val="uk-UA"/>
        </w:rPr>
        <w:t>Е</w:t>
      </w:r>
      <w:r>
        <w:rPr>
          <w:rFonts w:ascii="Times New Roman CYR" w:hAnsi="Times New Roman CYR" w:cs="Times New Roman CYR"/>
          <w:sz w:val="28"/>
          <w:szCs w:val="28"/>
        </w:rPr>
        <w:t>КС» - 32 млн. грн., на УМВБ - 3 млн. грн.</w:t>
      </w:r>
    </w:p>
    <w:p w:rsidR="00CA7AE8" w:rsidRDefault="00CA7AE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CA7AE8" w:rsidRDefault="004C053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450080" cy="2514600"/>
            <wp:effectExtent l="0" t="0" r="762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50080" cy="2514600"/>
                    </a:xfrm>
                    <a:prstGeom prst="rect">
                      <a:avLst/>
                    </a:prstGeom>
                    <a:noFill/>
                    <a:ln>
                      <a:noFill/>
                    </a:ln>
                  </pic:spPr>
                </pic:pic>
              </a:graphicData>
            </a:graphic>
          </wp:inline>
        </w:drawing>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2.8 Структура объема контрактов на фондовых биржах Украины за 2011 год (построено на основе данных таблицы 2.5) [48]</w:t>
      </w:r>
    </w:p>
    <w:p w:rsidR="00CA7AE8" w:rsidRDefault="00CA7AE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сравнения, в 2010 г. торги ценными бумагами проводились также на десяти фондовых площадках. Общий объем торгов составил 131,29 млрд. грн. Лидерами организованного рынка были ФБ ПФТС (59,66 млрд. грн., или 45,4% </w:t>
      </w:r>
      <w:r>
        <w:rPr>
          <w:rFonts w:ascii="Times New Roman CYR" w:hAnsi="Times New Roman CYR" w:cs="Times New Roman CYR"/>
          <w:sz w:val="28"/>
          <w:szCs w:val="28"/>
        </w:rPr>
        <w:lastRenderedPageBreak/>
        <w:t>от общего объема торгов), ФБ «Перспектива» (36,7 млрд. грн., или 27,9%) и «Укра</w:t>
      </w:r>
      <w:r>
        <w:rPr>
          <w:rFonts w:ascii="Times New Roman CYR" w:hAnsi="Times New Roman CYR" w:cs="Times New Roman CYR"/>
          <w:sz w:val="28"/>
          <w:szCs w:val="28"/>
          <w:lang w:val="uk-UA"/>
        </w:rPr>
        <w:t>ї</w:t>
      </w:r>
      <w:r>
        <w:rPr>
          <w:rFonts w:ascii="Times New Roman CYR" w:hAnsi="Times New Roman CYR" w:cs="Times New Roman CYR"/>
          <w:sz w:val="28"/>
          <w:szCs w:val="28"/>
        </w:rPr>
        <w:t>нс</w:t>
      </w:r>
      <w:r>
        <w:rPr>
          <w:rFonts w:ascii="Times New Roman CYR" w:hAnsi="Times New Roman CYR" w:cs="Times New Roman CYR"/>
          <w:sz w:val="28"/>
          <w:szCs w:val="28"/>
          <w:lang w:val="uk-UA"/>
        </w:rPr>
        <w:t>ь</w:t>
      </w:r>
      <w:r>
        <w:rPr>
          <w:rFonts w:ascii="Times New Roman CYR" w:hAnsi="Times New Roman CYR" w:cs="Times New Roman CYR"/>
          <w:sz w:val="28"/>
          <w:szCs w:val="28"/>
        </w:rPr>
        <w:t>ка б</w:t>
      </w:r>
      <w:r>
        <w:rPr>
          <w:rFonts w:ascii="Times New Roman CYR" w:hAnsi="Times New Roman CYR" w:cs="Times New Roman CYR"/>
          <w:sz w:val="28"/>
          <w:szCs w:val="28"/>
          <w:lang w:val="uk-UA"/>
        </w:rPr>
        <w:t>і</w:t>
      </w:r>
      <w:r>
        <w:rPr>
          <w:rFonts w:ascii="Times New Roman CYR" w:hAnsi="Times New Roman CYR" w:cs="Times New Roman CYR"/>
          <w:sz w:val="28"/>
          <w:szCs w:val="28"/>
        </w:rPr>
        <w:t xml:space="preserve">ржа» (28,75 млрд. грн., или 21,9%). Показатели других площадок были такими: КМФБ - 2,66 млрд. грн.; УМФБ - 1,65 млрд. грн.; УМВБ - 1,27 млрд. грн.; ПФБ - 362 млн. грн., </w:t>
      </w:r>
      <w:r>
        <w:rPr>
          <w:rFonts w:ascii="Times New Roman CYR" w:hAnsi="Times New Roman CYR" w:cs="Times New Roman CYR"/>
          <w:sz w:val="28"/>
          <w:szCs w:val="28"/>
          <w:lang w:val="uk-UA"/>
        </w:rPr>
        <w:t>СЄ</w:t>
      </w:r>
      <w:r>
        <w:rPr>
          <w:rFonts w:ascii="Times New Roman CYR" w:hAnsi="Times New Roman CYR" w:cs="Times New Roman CYR"/>
          <w:sz w:val="28"/>
          <w:szCs w:val="28"/>
        </w:rPr>
        <w:t>ФБ - 151 млн. грн ; ФБ «</w:t>
      </w:r>
      <w:r>
        <w:rPr>
          <w:rFonts w:ascii="Times New Roman CYR" w:hAnsi="Times New Roman CYR" w:cs="Times New Roman CYR"/>
          <w:sz w:val="28"/>
          <w:szCs w:val="28"/>
          <w:lang w:val="uk-UA"/>
        </w:rPr>
        <w:t>І</w:t>
      </w:r>
      <w:r>
        <w:rPr>
          <w:rFonts w:ascii="Times New Roman CYR" w:hAnsi="Times New Roman CYR" w:cs="Times New Roman CYR"/>
          <w:sz w:val="28"/>
          <w:szCs w:val="28"/>
        </w:rPr>
        <w:t>НН</w:t>
      </w:r>
      <w:r>
        <w:rPr>
          <w:rFonts w:ascii="Times New Roman CYR" w:hAnsi="Times New Roman CYR" w:cs="Times New Roman CYR"/>
          <w:sz w:val="28"/>
          <w:szCs w:val="28"/>
          <w:lang w:val="uk-UA"/>
        </w:rPr>
        <w:t>Е</w:t>
      </w:r>
      <w:r>
        <w:rPr>
          <w:rFonts w:ascii="Times New Roman CYR" w:hAnsi="Times New Roman CYR" w:cs="Times New Roman CYR"/>
          <w:sz w:val="28"/>
          <w:szCs w:val="28"/>
        </w:rPr>
        <w:t>КС» - 72 млн. грн., УФБ - 54 млн. грн .</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Наибольший объем торгов по финансовым инструментам на организаторах торговли в течение 2011года зафиксировано по:</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государственными облигациями Украины - 99</w:t>
      </w:r>
      <w:r>
        <w:rPr>
          <w:rFonts w:ascii="Times New Roman CYR" w:hAnsi="Times New Roman CYR" w:cs="Times New Roman CYR"/>
          <w:sz w:val="28"/>
          <w:szCs w:val="28"/>
          <w:lang w:val="uk-UA"/>
        </w:rPr>
        <w:t>,</w:t>
      </w:r>
      <w:r>
        <w:rPr>
          <w:rFonts w:ascii="Times New Roman CYR" w:hAnsi="Times New Roman CYR" w:cs="Times New Roman CYR"/>
          <w:sz w:val="28"/>
          <w:szCs w:val="28"/>
        </w:rPr>
        <w:t>13</w:t>
      </w:r>
      <w:r>
        <w:rPr>
          <w:rFonts w:ascii="Times New Roman CYR" w:hAnsi="Times New Roman CYR" w:cs="Times New Roman CYR"/>
          <w:sz w:val="28"/>
          <w:szCs w:val="28"/>
          <w:lang w:val="uk-UA"/>
        </w:rPr>
        <w:t xml:space="preserve"> млрд.</w:t>
      </w:r>
      <w:r>
        <w:rPr>
          <w:rFonts w:ascii="Times New Roman CYR" w:hAnsi="Times New Roman CYR" w:cs="Times New Roman CYR"/>
          <w:sz w:val="28"/>
          <w:szCs w:val="28"/>
        </w:rPr>
        <w:t xml:space="preserve"> грн (42,03% от общего объема выполненных биржевых контрактов (договоров) на организаторах торговли в 2011 году);</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акциями на сумму 79</w:t>
      </w:r>
      <w:r>
        <w:rPr>
          <w:rFonts w:ascii="Times New Roman CYR" w:hAnsi="Times New Roman CYR" w:cs="Times New Roman CYR"/>
          <w:sz w:val="28"/>
          <w:szCs w:val="28"/>
          <w:lang w:val="uk-UA"/>
        </w:rPr>
        <w:t>,</w:t>
      </w:r>
      <w:r>
        <w:rPr>
          <w:rFonts w:ascii="Times New Roman CYR" w:hAnsi="Times New Roman CYR" w:cs="Times New Roman CYR"/>
          <w:sz w:val="28"/>
          <w:szCs w:val="28"/>
        </w:rPr>
        <w:t>43</w:t>
      </w:r>
      <w:r>
        <w:rPr>
          <w:rFonts w:ascii="Times New Roman CYR" w:hAnsi="Times New Roman CYR" w:cs="Times New Roman CYR"/>
          <w:sz w:val="28"/>
          <w:szCs w:val="28"/>
          <w:lang w:val="uk-UA"/>
        </w:rPr>
        <w:t xml:space="preserve"> млрд.</w:t>
      </w:r>
      <w:r>
        <w:rPr>
          <w:rFonts w:ascii="Times New Roman CYR" w:hAnsi="Times New Roman CYR" w:cs="Times New Roman CYR"/>
          <w:sz w:val="28"/>
          <w:szCs w:val="28"/>
        </w:rPr>
        <w:t xml:space="preserve"> грн (или 33,68%).</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деривативами - 23,95 млрд. грн.</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корпоративными облигациями - 21,66 млрд. грн.</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инвестиционными сертификатами - 11,4 млрд. грн.</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муниципальными облигациями - 0,46 млрд. грн.</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Объем биржевых контрактов (договоров) с ценными бумагами на организаторах торговли на вторичном рынке в 2011 году составил 75,94% от общего объема биржевых контрактов (договоров) в течение указанного периода.</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то время как в 2010 году наибольший объем торгов был зафиксирован по ОВГЗ (61,16 млрд. грн.) и с акциями (52,7 млрд. грн.).</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результатам торгов на организаторах торговли объем биржевых контрактов (договоров) с ценными бумагами в течение января 2012 составил 13,95 млрд. грн (таблица 2.6). За январь 2012 по сравнению с данными аналогичного периода 2011 года объем биржевых контрактов (договоров) с ценными бумагами на организаторах торговли уменьшился на 0,8% (или 222</w:t>
      </w:r>
      <w:r>
        <w:rPr>
          <w:rFonts w:ascii="Times New Roman CYR" w:hAnsi="Times New Roman CYR" w:cs="Times New Roman CYR"/>
          <w:sz w:val="28"/>
          <w:szCs w:val="28"/>
          <w:lang w:val="uk-UA"/>
        </w:rPr>
        <w:t>,</w:t>
      </w:r>
      <w:r>
        <w:rPr>
          <w:rFonts w:ascii="Times New Roman CYR" w:hAnsi="Times New Roman CYR" w:cs="Times New Roman CYR"/>
          <w:sz w:val="28"/>
          <w:szCs w:val="28"/>
        </w:rPr>
        <w:t>21</w:t>
      </w:r>
      <w:r>
        <w:rPr>
          <w:rFonts w:ascii="Times New Roman CYR" w:hAnsi="Times New Roman CYR" w:cs="Times New Roman CYR"/>
          <w:sz w:val="28"/>
          <w:szCs w:val="28"/>
          <w:lang w:val="uk-UA"/>
        </w:rPr>
        <w:t xml:space="preserve"> млн.</w:t>
      </w:r>
      <w:r>
        <w:rPr>
          <w:rFonts w:ascii="Times New Roman CYR" w:hAnsi="Times New Roman CYR" w:cs="Times New Roman CYR"/>
          <w:sz w:val="28"/>
          <w:szCs w:val="28"/>
        </w:rPr>
        <w:t xml:space="preserve"> грн).</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Таблица 2.6</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Объем биржевых контрактов (договоров) с ценными бумагами на организаторах торговли в январе 2012 и январе 2011 годов. (млн. грн)</w:t>
      </w:r>
    </w:p>
    <w:tbl>
      <w:tblPr>
        <w:tblW w:w="0" w:type="auto"/>
        <w:tblInd w:w="-100" w:type="dxa"/>
        <w:tblBorders>
          <w:top w:val="single" w:sz="4" w:space="0" w:color="000000"/>
          <w:left w:val="single" w:sz="4" w:space="0" w:color="000000"/>
          <w:bottom w:val="single" w:sz="4" w:space="0" w:color="000000"/>
          <w:right w:val="single" w:sz="4" w:space="0" w:color="000000"/>
        </w:tblBorders>
        <w:tblLayout w:type="fixed"/>
        <w:tblCellMar>
          <w:left w:w="0" w:type="dxa"/>
          <w:right w:w="0" w:type="dxa"/>
        </w:tblCellMar>
        <w:tblLook w:val="0000" w:firstRow="0" w:lastRow="0" w:firstColumn="0" w:lastColumn="0" w:noHBand="0" w:noVBand="0"/>
      </w:tblPr>
      <w:tblGrid>
        <w:gridCol w:w="1101"/>
        <w:gridCol w:w="659"/>
        <w:gridCol w:w="737"/>
        <w:gridCol w:w="659"/>
        <w:gridCol w:w="643"/>
        <w:gridCol w:w="668"/>
        <w:gridCol w:w="476"/>
        <w:gridCol w:w="731"/>
        <w:gridCol w:w="1146"/>
        <w:gridCol w:w="610"/>
        <w:gridCol w:w="731"/>
        <w:gridCol w:w="839"/>
      </w:tblGrid>
      <w:tr w:rsidR="00CA7AE8">
        <w:tc>
          <w:tcPr>
            <w:tcW w:w="1101"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lang w:val="uk-UA"/>
              </w:rPr>
            </w:pPr>
            <w:r>
              <w:rPr>
                <w:rFonts w:ascii="Times New Roman CYR" w:hAnsi="Times New Roman CYR" w:cs="Times New Roman CYR"/>
                <w:sz w:val="20"/>
                <w:szCs w:val="20"/>
                <w:lang w:val="uk-UA"/>
              </w:rPr>
              <w:t>Год</w:t>
            </w:r>
          </w:p>
        </w:tc>
        <w:tc>
          <w:tcPr>
            <w:tcW w:w="7060" w:type="dxa"/>
            <w:gridSpan w:val="10"/>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Организатор торговли</w:t>
            </w:r>
          </w:p>
        </w:tc>
        <w:tc>
          <w:tcPr>
            <w:tcW w:w="839"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Всего</w:t>
            </w:r>
          </w:p>
        </w:tc>
      </w:tr>
      <w:tr w:rsidR="00CA7AE8">
        <w:tc>
          <w:tcPr>
            <w:tcW w:w="1101"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659"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КМФБ</w:t>
            </w:r>
          </w:p>
        </w:tc>
        <w:tc>
          <w:tcPr>
            <w:tcW w:w="737"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ИННЕКС</w:t>
            </w:r>
          </w:p>
        </w:tc>
        <w:tc>
          <w:tcPr>
            <w:tcW w:w="659"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ПФБ</w:t>
            </w:r>
          </w:p>
        </w:tc>
        <w:tc>
          <w:tcPr>
            <w:tcW w:w="643"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УМВБ</w:t>
            </w:r>
          </w:p>
        </w:tc>
        <w:tc>
          <w:tcPr>
            <w:tcW w:w="668"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УМФБ</w:t>
            </w:r>
          </w:p>
        </w:tc>
        <w:tc>
          <w:tcPr>
            <w:tcW w:w="476"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УФБ</w:t>
            </w:r>
          </w:p>
        </w:tc>
        <w:tc>
          <w:tcPr>
            <w:tcW w:w="731"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ПФТС</w:t>
            </w:r>
          </w:p>
        </w:tc>
        <w:tc>
          <w:tcPr>
            <w:tcW w:w="1146"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ПЕРСПЕКТ ИВА</w:t>
            </w:r>
          </w:p>
        </w:tc>
        <w:tc>
          <w:tcPr>
            <w:tcW w:w="610"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СЄФБ</w:t>
            </w:r>
          </w:p>
        </w:tc>
        <w:tc>
          <w:tcPr>
            <w:tcW w:w="731"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УБ</w:t>
            </w:r>
          </w:p>
        </w:tc>
        <w:tc>
          <w:tcPr>
            <w:tcW w:w="839"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CA7AE8">
        <w:tc>
          <w:tcPr>
            <w:tcW w:w="1101"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Январь 2012</w:t>
            </w:r>
          </w:p>
        </w:tc>
        <w:tc>
          <w:tcPr>
            <w:tcW w:w="659"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134,41</w:t>
            </w:r>
          </w:p>
        </w:tc>
        <w:tc>
          <w:tcPr>
            <w:tcW w:w="737"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0,00</w:t>
            </w:r>
          </w:p>
        </w:tc>
        <w:tc>
          <w:tcPr>
            <w:tcW w:w="659"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8,89</w:t>
            </w:r>
          </w:p>
        </w:tc>
        <w:tc>
          <w:tcPr>
            <w:tcW w:w="643"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0,12</w:t>
            </w:r>
          </w:p>
        </w:tc>
        <w:tc>
          <w:tcPr>
            <w:tcW w:w="668"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0,12</w:t>
            </w:r>
          </w:p>
        </w:tc>
        <w:tc>
          <w:tcPr>
            <w:tcW w:w="476"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3,90</w:t>
            </w:r>
          </w:p>
        </w:tc>
        <w:tc>
          <w:tcPr>
            <w:tcW w:w="731"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6738,33</w:t>
            </w:r>
          </w:p>
        </w:tc>
        <w:tc>
          <w:tcPr>
            <w:tcW w:w="1146"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4790,21</w:t>
            </w:r>
          </w:p>
        </w:tc>
        <w:tc>
          <w:tcPr>
            <w:tcW w:w="610"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2,56</w:t>
            </w:r>
          </w:p>
        </w:tc>
        <w:tc>
          <w:tcPr>
            <w:tcW w:w="731"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2168,70</w:t>
            </w:r>
          </w:p>
        </w:tc>
        <w:tc>
          <w:tcPr>
            <w:tcW w:w="839"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13847,24</w:t>
            </w:r>
          </w:p>
        </w:tc>
      </w:tr>
      <w:tr w:rsidR="00CA7AE8">
        <w:tc>
          <w:tcPr>
            <w:tcW w:w="1101"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Январь 2011</w:t>
            </w:r>
          </w:p>
        </w:tc>
        <w:tc>
          <w:tcPr>
            <w:tcW w:w="659"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11,98</w:t>
            </w:r>
          </w:p>
        </w:tc>
        <w:tc>
          <w:tcPr>
            <w:tcW w:w="737"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0,07</w:t>
            </w:r>
          </w:p>
        </w:tc>
        <w:tc>
          <w:tcPr>
            <w:tcW w:w="659"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9,21</w:t>
            </w:r>
          </w:p>
        </w:tc>
        <w:tc>
          <w:tcPr>
            <w:tcW w:w="643"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0,20</w:t>
            </w:r>
          </w:p>
        </w:tc>
        <w:tc>
          <w:tcPr>
            <w:tcW w:w="668"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1,62</w:t>
            </w:r>
          </w:p>
        </w:tc>
        <w:tc>
          <w:tcPr>
            <w:tcW w:w="476"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0,89</w:t>
            </w:r>
          </w:p>
        </w:tc>
        <w:tc>
          <w:tcPr>
            <w:tcW w:w="731"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4838,69</w:t>
            </w:r>
          </w:p>
        </w:tc>
        <w:tc>
          <w:tcPr>
            <w:tcW w:w="1146"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4554,03</w:t>
            </w:r>
          </w:p>
        </w:tc>
        <w:tc>
          <w:tcPr>
            <w:tcW w:w="610"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2,95</w:t>
            </w:r>
          </w:p>
        </w:tc>
        <w:tc>
          <w:tcPr>
            <w:tcW w:w="731"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4649,81</w:t>
            </w:r>
          </w:p>
        </w:tc>
        <w:tc>
          <w:tcPr>
            <w:tcW w:w="839"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14096,45</w:t>
            </w:r>
          </w:p>
        </w:tc>
      </w:tr>
    </w:tbl>
    <w:p w:rsidR="00CA7AE8" w:rsidRDefault="00CA7AE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Наибольший объем торгов по финансовым инструментам на организаторах торговли в январе 2012 года зафиксирован по:</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Государственным</w:t>
      </w:r>
      <w:r>
        <w:rPr>
          <w:rFonts w:ascii="Times New Roman CYR" w:hAnsi="Times New Roman CYR" w:cs="Times New Roman CYR"/>
          <w:sz w:val="28"/>
          <w:szCs w:val="28"/>
          <w:lang w:val="uk-UA"/>
        </w:rPr>
        <w:t xml:space="preserve"> </w:t>
      </w:r>
      <w:r>
        <w:rPr>
          <w:rFonts w:ascii="Times New Roman CYR" w:hAnsi="Times New Roman CYR" w:cs="Times New Roman CYR"/>
          <w:sz w:val="28"/>
          <w:szCs w:val="28"/>
        </w:rPr>
        <w:t>облигациям Украины - 6,45 млрд. грн (46,24% от общего объема выполненных биржевых контрактов (договоров) на организаторах торговли в январе 2012 года);</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Акциям на сумму 3,27 млрд. грн (или 23,44%).</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Анализируя отдельные биржи, следует отметить, что на данный момент наиболее прогрессивными биржами являются: «Українська біржа», «Фондова біржа» ПФТС» и «Фондова біржа «Перспектива».</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Большое влияние на биржевой фондовый рынок Украины на современном этапе осуществляет « Ук</w:t>
      </w:r>
      <w:r>
        <w:rPr>
          <w:rFonts w:ascii="Times New Roman CYR" w:hAnsi="Times New Roman CYR" w:cs="Times New Roman CYR"/>
          <w:sz w:val="28"/>
          <w:szCs w:val="28"/>
          <w:lang w:val="uk-UA"/>
        </w:rPr>
        <w:t>ра</w:t>
      </w:r>
      <w:r>
        <w:rPr>
          <w:rFonts w:ascii="Times New Roman CYR" w:hAnsi="Times New Roman CYR" w:cs="Times New Roman CYR"/>
          <w:sz w:val="28"/>
          <w:szCs w:val="28"/>
        </w:rPr>
        <w:t>инская биржа». Далее представлен анализ ее деятельности.</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Украинская биржа - одна из крупнейших фондовых бирж в Украине по объему торгов акциями. В мае 2008 года участники украинского рынка ценных бумаг подписали договор с ОАО «фондовая биржа РТС» о создании в Киеве новой биржи в форме открытого акционерного общества - 51% акций выкупили украинские торговцы. В конце 2009 года РТС распределила 6% акций между наиболее активными участниками торгов, а также 3% акций среди топ-менеджеров биржи в рамках опционных соглашений, таким образом, снизив свою долю до 40 %.</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Благодаря «Украинской бирже» 26 марта 2009 года появился рынок заявок, это можно считать и временем запуска интернет-трейдинга в Украине.</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с 2009 года на «Украинской бирже» заметно возрос объем торгов, что показано на рисунке 2.9.</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За 3 года наблюдается тенденция к росту объема торгов на бирже. В 2011 году общий объем торгов на Украинской бирже вырос на 133% по сравнению с 2010 годом и составил 63 868 млн. грн., а общее количество сделок увеличилось на 142% и достигло 2 395 514 (см. рис.2.9).</w:t>
      </w:r>
    </w:p>
    <w:p w:rsidR="00CA7AE8" w:rsidRDefault="00CA7AE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CA7AE8" w:rsidRDefault="004C053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486400" cy="32004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86400" cy="3200400"/>
                    </a:xfrm>
                    <a:prstGeom prst="rect">
                      <a:avLst/>
                    </a:prstGeom>
                    <a:noFill/>
                    <a:ln>
                      <a:noFill/>
                    </a:ln>
                  </pic:spPr>
                </pic:pic>
              </a:graphicData>
            </a:graphic>
          </wp:inline>
        </w:drawing>
      </w:r>
    </w:p>
    <w:p w:rsidR="00CA7AE8" w:rsidRDefault="000543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Рис.2.9 Динамика объема торгов на ФБ «Украинская биржа» за 2009-2011 год (построено на основе данных таблицы 2.5)</w:t>
      </w:r>
    </w:p>
    <w:p w:rsidR="00CA7AE8" w:rsidRDefault="00CA7AE8">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CA7AE8" w:rsidRDefault="000543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lang w:val="uk-UA"/>
        </w:rPr>
        <w:t>Стоит отметить, что в I квартале 2012 года общий объем торгов на</w:t>
      </w:r>
      <w:r>
        <w:rPr>
          <w:rFonts w:ascii="Times New Roman CYR" w:hAnsi="Times New Roman CYR" w:cs="Times New Roman CYR"/>
          <w:sz w:val="28"/>
          <w:szCs w:val="28"/>
        </w:rPr>
        <w:t xml:space="preserve"> «Украинской бирже» составил 7 329 млн. грн. Этот показатель на 62% ниже аналогичного показателя за I квартал 2011 года, и на 44% меньше объема торгов по итогам IV квартала 2011 года. Общее количество сделок составило 480 978, что на 38% меньше, чем кварталом ранее.</w:t>
      </w:r>
    </w:p>
    <w:p w:rsidR="00CA7AE8" w:rsidRDefault="000543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Рассмотрим структуру торгов на бирже по финансовым инструментам (</w:t>
      </w:r>
      <w:r>
        <w:rPr>
          <w:rFonts w:ascii="Times New Roman CYR" w:hAnsi="Times New Roman CYR" w:cs="Times New Roman CYR"/>
          <w:sz w:val="28"/>
          <w:szCs w:val="28"/>
          <w:lang w:val="en-US"/>
        </w:rPr>
        <w:t>c</w:t>
      </w:r>
      <w:r>
        <w:rPr>
          <w:rFonts w:ascii="Times New Roman CYR" w:hAnsi="Times New Roman CYR" w:cs="Times New Roman CYR"/>
          <w:sz w:val="28"/>
          <w:szCs w:val="28"/>
        </w:rPr>
        <w:t>м. рис. 2.10).</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Акции лидировали среди финансовых инструментов и на «Украинской </w:t>
      </w:r>
      <w:r>
        <w:rPr>
          <w:rFonts w:ascii="Times New Roman CYR" w:hAnsi="Times New Roman CYR" w:cs="Times New Roman CYR"/>
          <w:sz w:val="28"/>
          <w:szCs w:val="28"/>
        </w:rPr>
        <w:lastRenderedPageBreak/>
        <w:t>бирже», где объем торгов этими ценными бумагами составил 36,54 млрд. грн (или 57,21%). Объем торгов деривативами - 23,71 млрд. грн. (37,04%), корпоративными облигациями - 2,55 млрд. грн. (4%), государственными облигациями - 645,10 млн. грн. (1,01%)., облигациями местных займов- 225,8 млн. грн.(0,35%). инвестиционными сертификатами - 252,36 млн. грн.(0,40%)..</w:t>
      </w:r>
    </w:p>
    <w:p w:rsidR="00CA7AE8" w:rsidRDefault="00CA7AE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CA7AE8" w:rsidRDefault="004C0537">
      <w:pPr>
        <w:widowControl w:val="0"/>
        <w:autoSpaceDE w:val="0"/>
        <w:autoSpaceDN w:val="0"/>
        <w:adjustRightInd w:val="0"/>
        <w:spacing w:after="0" w:line="240" w:lineRule="auto"/>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600700" cy="32385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00700" cy="3238500"/>
                    </a:xfrm>
                    <a:prstGeom prst="rect">
                      <a:avLst/>
                    </a:prstGeom>
                    <a:noFill/>
                    <a:ln>
                      <a:noFill/>
                    </a:ln>
                  </pic:spPr>
                </pic:pic>
              </a:graphicData>
            </a:graphic>
          </wp:inline>
        </w:drawing>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2.10 Структура торгов на «Украинской бирже» по финансовым инструментам за 2011 год (построено на основе данных таблицы 2.5)</w:t>
      </w:r>
    </w:p>
    <w:p w:rsidR="00CA7AE8" w:rsidRDefault="00CA7AE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Объем торгов на фондовом рынке «украинской биржи» за прошедший год вырос на 69% по сравнению с 2010 годом и составил 40 258 млн. грн., а общее количество сделок выросло на 47% и достигло 1 230 025.</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рынке акций в 2011 году было осуществлено 1 191 587 сделок на общую сумму 36 495 млн. грн., что на 61% больше прошлогоднего результата на рынке государственных облигаций было проведено 120 сделок на сумму 648 млн. грн., что на 166% превышает аналогичный показатель 2010 года.</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На рынке корпоративных облигаций было осуществлено 1 907 сделок на общую сумму 2 779 млн. грн. или на 480% больше, чем годом ранее.</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рынке инвестиционных сертификатов 2011 году состоялось 36 411 сделок на сумму 335 млн.грн., что в 12 раз больше показателя 2010 года.</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Объем торгов на срочном рынке за 2011 год вырос на 560% в деньгах и на 574% в контрактах и составил 23 708 млн. грн. или 12 064 393 контракта соответственно, а количество сделок увеличилось на 659% и достигло 1 165 489.</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же по итогам 2011 года индекс UX, рассчитываемый «украинской биржей», упал на 40,3% с 2 443,70 до 1 458,87 пунктов. Максимальное значение индекса UX в течение 2011 года было достигнуто 1 марта и составило 2 962,58 пунктов (21,2% с начала года), в то время как минимальное составило 20 октября 1 258,08 пунктов (-48,5% с начала года).</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марта 2012 года исполнилось три года с момента запуска торгов на «Украинской бирже». Биржа была одиннадцатой по счету в стране. За 3 года «Украинская биржа» осуществила настоящий прорыв на украинском фондовом рынке, выведя его на новый качественный уровень. Запустив интернет-трейдинг, «Украинская биржа» продолжает вводить новые услуги и инструменты, в частности, срочный рынок и опционы. Также ожидается запуск фьючерсов на золото и гривну. Большим прорывом для украинского фондового рынка станет размещение на «Украинской бирже» акций украинских эмитентов, которые пока размещены только на зарубежных площадках.</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«Украинская биржа» помогла принять новые правила для торговцев, что значительно облегчило работу брокеров. Огромен вклад «Украинской биржи» в повышение финансовой грамотности населения. Координируя работу брокеров, «Украинская биржа» организовала множество образовательных проектов, сумев привлечь молодежь на фондовый рынок.</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Безусловно, главные события прошедшего периода - это создание новых </w:t>
      </w:r>
      <w:r>
        <w:rPr>
          <w:rFonts w:ascii="Times New Roman CYR" w:hAnsi="Times New Roman CYR" w:cs="Times New Roman CYR"/>
          <w:sz w:val="28"/>
          <w:szCs w:val="28"/>
        </w:rPr>
        <w:lastRenderedPageBreak/>
        <w:t>инструментов: фьючерсов и опционов, благодаря которым у трейдеров появилось больше возможностей для заработка и хеджирования рисков.</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 появления в Украине регулярных торгов на Украинской бирже, лидером и индикатором украинского биржевого рынка акций была «Первая фондовая торговая система», функционировала до 2006 года в статусе «Торгово-информационной системы» (ТИС), а затем получила статус фондовой биржи. Удельный вес ПФТС на регулируемом рынке много лет превышал 80-90 % регулируемого обращения акций. Начиная с 2009 года фондовая биржа ПФТС начинает терять свою монополию быть главным биржевым рынком акций в Украине.[]</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Торговая система Фондовой биржи ПФТС является комплексом организационных, нормативных, программно-аппаратных и технических решений. Технологически она состоит из «Рынка котировок" и "Рынка заявок». Также в ПФТС проводятся аукционы по продаже ценных бумаг Фондом государственного имущества Украины, компаниями, которые проводят первичное размещение собственных ценных бумаг, или наоборот, распродают свои активы в ценных бумагах.</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обращению в ПФТС допускаются акции, облигации внутренних и внешних государственных займов, облигации местных займов, облигации предприятий, казначейские обязательства Украины, сберегательные сертификаты, инвестиционные сертификаты и другие виды ценных бумаг, выпуск которых не запрещен действующим законодательством Украины.</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sz w:val="28"/>
          <w:szCs w:val="28"/>
        </w:rPr>
        <w:t>В ПФТС заключаются сделки исключительно с ценными бумагами, которые входят в список ПФТС, который содержит список ценных бумаг и других финансовых инструментов, допущенных к торговле в ПФТС в порядке и на условиях, предусмотренных Правилами Фондовой биржи ПФТС.[]</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период с 2005 года по 2011 на фондовой бирже ПФТС наблюдется рост </w:t>
      </w:r>
      <w:r>
        <w:rPr>
          <w:rFonts w:ascii="Times New Roman CYR" w:hAnsi="Times New Roman CYR" w:cs="Times New Roman CYR"/>
          <w:sz w:val="28"/>
          <w:szCs w:val="28"/>
        </w:rPr>
        <w:lastRenderedPageBreak/>
        <w:t>объема торгов. В 2011 году объем торгов составил 88,86 млрд. грн., что в 1,5 раз больше, чем в 2010 году (58,66 млрд. грн.). Также наблюдается спад в 2009 году, когда объем торгов составил 13,96 млрд. грн. (см. рис. 2.11). Это связано с появлением на биржевом рынке «Украинской биржи».</w:t>
      </w:r>
    </w:p>
    <w:p w:rsidR="00CA7AE8" w:rsidRDefault="00CA7AE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CA7AE8" w:rsidRDefault="004C053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349240" cy="3962400"/>
            <wp:effectExtent l="0" t="0" r="381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49240" cy="3962400"/>
                    </a:xfrm>
                    <a:prstGeom prst="rect">
                      <a:avLst/>
                    </a:prstGeom>
                    <a:noFill/>
                    <a:ln>
                      <a:noFill/>
                    </a:ln>
                  </pic:spPr>
                </pic:pic>
              </a:graphicData>
            </a:graphic>
          </wp:inline>
        </w:drawing>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Рис.2.11 Динамика объема торгов на ФБ ПФТС за 2005-2011 год</w:t>
      </w:r>
    </w:p>
    <w:p w:rsidR="00CA7AE8" w:rsidRDefault="00CA7AE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2011 году на ФБ ПФТС преобладали торги государственными облигациями и составили 76,19 млрд. грн. (85,73%).Объем торгов корпоративными облигациями - 10,39 млрд. грн. (11,70%).Остальные ценные бумаги составляют 2,57% от общего объема торгов: акции - 2,1 млрд. грн., муниципальные облигациями - 136,47 млн. грн., инвестиционные сертификаты - 54,42 млн. грн (см. рис 2.12).</w:t>
      </w:r>
    </w:p>
    <w:p w:rsidR="00CA7AE8" w:rsidRDefault="000543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br w:type="page"/>
      </w:r>
      <w:r w:rsidR="004C0537">
        <w:rPr>
          <w:rFonts w:ascii="Microsoft Sans Serif" w:hAnsi="Microsoft Sans Serif" w:cs="Microsoft Sans Serif"/>
          <w:noProof/>
          <w:sz w:val="17"/>
          <w:szCs w:val="17"/>
        </w:rPr>
        <w:lastRenderedPageBreak/>
        <w:drawing>
          <wp:inline distT="0" distB="0" distL="0" distR="0">
            <wp:extent cx="5250180" cy="2948940"/>
            <wp:effectExtent l="0" t="0" r="7620" b="381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50180" cy="2948940"/>
                    </a:xfrm>
                    <a:prstGeom prst="rect">
                      <a:avLst/>
                    </a:prstGeom>
                    <a:noFill/>
                    <a:ln>
                      <a:noFill/>
                    </a:ln>
                  </pic:spPr>
                </pic:pic>
              </a:graphicData>
            </a:graphic>
          </wp:inline>
        </w:drawing>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2.12 Структура торгов на фондовой бирже ПФТС по финансовым инструментам за 2011 год (построено на основе данных таблицы 2.5) []</w:t>
      </w:r>
    </w:p>
    <w:p w:rsidR="00CA7AE8" w:rsidRDefault="00CA7AE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ФБ «Перспектива» также является одной из лидирующих фондовых бирж в Украине.</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Объем торгов на бирже за 5 лет на бирже значительно вырос, что является положительной тенденцией (см. рис. 2.13). Так в 2011 году объем торгов составил 79,07 млрд. грн. Этот показатель в 0,6 раз больше, чем в 2010 году (47,67 млрд. грн.)</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ФБ «Перспектива» лидерами торгов в прошлом году оказались акции, по которым было заключено сделок на сумму 39,53 млрд. грн. (49,99%). Объем торгов ОВГЗ составил 22,30 млрд. грн. (28,20%), инвестиционными сертификатами - 10,85 млрд. грн. (13,72%), корпоративными облигациями - 6,11 млрд. грн. (7,73%), а также деривативами - 177,69 млн. грн., муниципальными облигациями - 100,16 млн. грн., которые заняли в сумме 0,35% всего объема торгов (см. рис. 2.14).</w:t>
      </w:r>
    </w:p>
    <w:p w:rsidR="00CA7AE8" w:rsidRDefault="000543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br w:type="page"/>
      </w:r>
      <w:r w:rsidR="004C0537">
        <w:rPr>
          <w:rFonts w:ascii="Microsoft Sans Serif" w:hAnsi="Microsoft Sans Serif" w:cs="Microsoft Sans Serif"/>
          <w:noProof/>
          <w:sz w:val="17"/>
          <w:szCs w:val="17"/>
        </w:rPr>
        <w:lastRenderedPageBreak/>
        <w:drawing>
          <wp:inline distT="0" distB="0" distL="0" distR="0">
            <wp:extent cx="4960620" cy="280416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60620" cy="2804160"/>
                    </a:xfrm>
                    <a:prstGeom prst="rect">
                      <a:avLst/>
                    </a:prstGeom>
                    <a:noFill/>
                    <a:ln>
                      <a:noFill/>
                    </a:ln>
                  </pic:spPr>
                </pic:pic>
              </a:graphicData>
            </a:graphic>
          </wp:inline>
        </w:drawing>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Рис.2.13 Динамика объема торгов на ФБ «Перспектива» за 2007-2011 год (построено на основе данных таблицы 2.5) []</w:t>
      </w:r>
    </w:p>
    <w:p w:rsidR="00CA7AE8" w:rsidRDefault="00CA7AE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CA7AE8" w:rsidRDefault="004C053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486400" cy="32004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86400" cy="3200400"/>
                    </a:xfrm>
                    <a:prstGeom prst="rect">
                      <a:avLst/>
                    </a:prstGeom>
                    <a:noFill/>
                    <a:ln>
                      <a:noFill/>
                    </a:ln>
                  </pic:spPr>
                </pic:pic>
              </a:graphicData>
            </a:graphic>
          </wp:inline>
        </w:drawing>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2.14 Структура торгов на фондовой бирже "Перспектива" по финансовым инструментам за 2011 год (построено на основе данных таблицы 2.5) []</w:t>
      </w:r>
    </w:p>
    <w:p w:rsidR="00CA7AE8" w:rsidRDefault="00CA7AE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На Киевской международной фондовой бирже в 2011 г. объем торгов корпоративными облигациями составил 1,69 млн. грн., акциями - 360,09 млн. грн., инвестиционными сертификатами - 35,45 млн. грн.</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Украинской международной фондовой бирже лидерами торгов оказались акции, объем торгов, которыми составил 748,73 млн. грн. Объем торгов корпоративными облигациями - 176,45 млн. грн., инвестиционными сертификатами - 158,86 млн. грн.</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Структура торгов на Украинской фондовой бирже была такой: корпоративные облигации - 325,44 млн. грн. деривативы - 59,18 млн. грн., акции - 11,82 млн. грн., инвестиционные сертификаты - 0,03 млн. грн.</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Приднепровской фондовой бирже объем торгов акциями составил 119,1 млн. грн., корпоративными облигациями - 109,65 млн. грн., инвестиционными сертификатами - 16,48 млн. грн.</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Объем торгов корпоративными облигациями на Восточно-Европейской фондовой бирже составил 164,83 млн. грн., инвестиционными сертификатами - 28,32 млн. грн., акциями - 16,22 млн. грн.</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ФБ «ІННЕКС» объем торгов корпоративными облигациями составил 16,45 млн. грн., а акциями - 15,86 млн. грн.</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свою очередь на Украинской межбанковской валютной бирже объем торгов деривативами составил 2,18 млн. грн., а акциями - 0,2 млн. грн.</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состоянию на 31.01.2012 в биржевые списки организаторов торговли включено 2 233 ценных бумаг.</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Количество ценных бумаг, включенных в биржевые реестры организаторов торговли, составляет 434. В биржевом реестре в котировальный список I степени листинга включены 133 ценных бумаг (с учетом нахождения в биржевом реестре нескольких организаторах торговли - 194 ценных бумаги), II степени листинга - 301 ценных бумаг (с учетом нахождения в биржевом реестре </w:t>
      </w:r>
      <w:r>
        <w:rPr>
          <w:rFonts w:ascii="Times New Roman CYR" w:hAnsi="Times New Roman CYR" w:cs="Times New Roman CYR"/>
          <w:sz w:val="28"/>
          <w:szCs w:val="28"/>
        </w:rPr>
        <w:lastRenderedPageBreak/>
        <w:t>нескольких организаторов торговли - 322 ценных бумаги).</w:t>
      </w:r>
    </w:p>
    <w:p w:rsidR="00CA7AE8" w:rsidRDefault="00CA7AE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РАЗДЕЛ 3.Деятельность фондовых бирж</w:t>
      </w:r>
    </w:p>
    <w:p w:rsidR="00CA7AE8" w:rsidRDefault="00CA7AE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3.1 Зарубежный опыт биржевой деятельности</w:t>
      </w:r>
    </w:p>
    <w:p w:rsidR="00CA7AE8" w:rsidRDefault="00CA7AE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настоящее время в мире функционирует достаточно большое количество фондовых бирж (около 150). В таблице 3.1 представлены основные биржи в мире.</w:t>
      </w:r>
    </w:p>
    <w:p w:rsidR="00CA7AE8" w:rsidRDefault="00CA7AE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3.1</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Основные фондовые биржи в мире []</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90"/>
        <w:gridCol w:w="1657"/>
        <w:gridCol w:w="3639"/>
        <w:gridCol w:w="2053"/>
      </w:tblGrid>
      <w:tr w:rsidR="00CA7AE8">
        <w:tc>
          <w:tcPr>
            <w:tcW w:w="1890"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Calibri" w:hAnsi="Calibri" w:cs="Calibri"/>
                <w:sz w:val="20"/>
                <w:szCs w:val="20"/>
              </w:rPr>
            </w:pPr>
            <w:r>
              <w:rPr>
                <w:rFonts w:ascii="Times New Roman CYR" w:hAnsi="Times New Roman CYR" w:cs="Times New Roman CYR"/>
                <w:sz w:val="20"/>
                <w:szCs w:val="20"/>
                <w:lang w:val="uk-UA"/>
              </w:rPr>
              <w:t>Страна</w:t>
            </w:r>
          </w:p>
        </w:tc>
        <w:tc>
          <w:tcPr>
            <w:tcW w:w="1657"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Calibri" w:hAnsi="Calibri" w:cs="Calibri"/>
                <w:sz w:val="20"/>
                <w:szCs w:val="20"/>
              </w:rPr>
            </w:pPr>
            <w:r>
              <w:rPr>
                <w:rFonts w:ascii="Times New Roman CYR" w:hAnsi="Times New Roman CYR" w:cs="Times New Roman CYR"/>
                <w:sz w:val="20"/>
                <w:szCs w:val="20"/>
                <w:lang w:val="uk-UA"/>
              </w:rPr>
              <w:t>Количество основных бирж</w:t>
            </w:r>
          </w:p>
        </w:tc>
        <w:tc>
          <w:tcPr>
            <w:tcW w:w="3639"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Calibri" w:hAnsi="Calibri" w:cs="Calibri"/>
                <w:sz w:val="20"/>
                <w:szCs w:val="20"/>
              </w:rPr>
            </w:pPr>
            <w:r>
              <w:rPr>
                <w:rFonts w:ascii="Times New Roman CYR" w:hAnsi="Times New Roman CYR" w:cs="Times New Roman CYR"/>
                <w:sz w:val="20"/>
                <w:szCs w:val="20"/>
                <w:lang w:val="uk-UA"/>
              </w:rPr>
              <w:t>Название</w:t>
            </w:r>
          </w:p>
        </w:tc>
        <w:tc>
          <w:tcPr>
            <w:tcW w:w="2053"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Calibri" w:hAnsi="Calibri" w:cs="Calibri"/>
                <w:sz w:val="20"/>
                <w:szCs w:val="20"/>
              </w:rPr>
            </w:pPr>
            <w:r>
              <w:rPr>
                <w:rFonts w:ascii="Times New Roman CYR" w:hAnsi="Times New Roman CYR" w:cs="Times New Roman CYR"/>
                <w:sz w:val="20"/>
                <w:szCs w:val="20"/>
                <w:lang w:val="uk-UA"/>
              </w:rPr>
              <w:t>Наибольшие биржи</w:t>
            </w:r>
          </w:p>
        </w:tc>
      </w:tr>
      <w:tr w:rsidR="00CA7AE8">
        <w:tc>
          <w:tcPr>
            <w:tcW w:w="1890"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США</w:t>
            </w:r>
          </w:p>
        </w:tc>
        <w:tc>
          <w:tcPr>
            <w:tcW w:w="1657"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Calibri" w:hAnsi="Calibri" w:cs="Calibri"/>
                <w:sz w:val="20"/>
                <w:szCs w:val="20"/>
              </w:rPr>
            </w:pPr>
            <w:r>
              <w:rPr>
                <w:rFonts w:ascii="Times New Roman CYR" w:hAnsi="Times New Roman CYR" w:cs="Times New Roman CYR"/>
                <w:sz w:val="20"/>
                <w:szCs w:val="20"/>
                <w:lang w:val="uk-UA"/>
              </w:rPr>
              <w:t>13 фондовых бирж</w:t>
            </w:r>
          </w:p>
        </w:tc>
        <w:tc>
          <w:tcPr>
            <w:tcW w:w="3639"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Calibri" w:hAnsi="Calibri" w:cs="Calibri"/>
                <w:sz w:val="20"/>
                <w:szCs w:val="20"/>
              </w:rPr>
            </w:pPr>
            <w:r>
              <w:rPr>
                <w:rFonts w:ascii="Times New Roman CYR" w:hAnsi="Times New Roman CYR" w:cs="Times New Roman CYR"/>
                <w:sz w:val="20"/>
                <w:szCs w:val="20"/>
                <w:lang w:val="uk-UA"/>
              </w:rPr>
              <w:t>Американ Сток Ексчендж, Среднезападная, Тихоокеанская, Бостонская, Чигаская, Фондовая биржа Цинцинатти.</w:t>
            </w:r>
          </w:p>
        </w:tc>
        <w:tc>
          <w:tcPr>
            <w:tcW w:w="2053"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Calibri" w:hAnsi="Calibri" w:cs="Calibri"/>
                <w:sz w:val="20"/>
                <w:szCs w:val="20"/>
              </w:rPr>
            </w:pPr>
            <w:r>
              <w:rPr>
                <w:rFonts w:ascii="Times New Roman CYR" w:hAnsi="Times New Roman CYR" w:cs="Times New Roman CYR"/>
                <w:sz w:val="20"/>
                <w:szCs w:val="20"/>
                <w:lang w:val="uk-UA"/>
              </w:rPr>
              <w:t>Нью-Иоркская фондовая биржа</w:t>
            </w:r>
          </w:p>
        </w:tc>
      </w:tr>
      <w:tr w:rsidR="00CA7AE8">
        <w:tc>
          <w:tcPr>
            <w:tcW w:w="1890"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Calibri" w:hAnsi="Calibri" w:cs="Calibri"/>
                <w:sz w:val="20"/>
                <w:szCs w:val="20"/>
              </w:rPr>
            </w:pPr>
            <w:r>
              <w:rPr>
                <w:rFonts w:ascii="Times New Roman CYR" w:hAnsi="Times New Roman CYR" w:cs="Times New Roman CYR"/>
                <w:sz w:val="20"/>
                <w:szCs w:val="20"/>
                <w:lang w:val="uk-UA"/>
              </w:rPr>
              <w:t>Великобритания</w:t>
            </w:r>
          </w:p>
        </w:tc>
        <w:tc>
          <w:tcPr>
            <w:tcW w:w="1657"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Calibri" w:hAnsi="Calibri" w:cs="Calibri"/>
                <w:sz w:val="20"/>
                <w:szCs w:val="20"/>
              </w:rPr>
            </w:pPr>
            <w:r>
              <w:rPr>
                <w:rFonts w:ascii="Times New Roman CYR" w:hAnsi="Times New Roman CYR" w:cs="Times New Roman CYR"/>
                <w:sz w:val="20"/>
                <w:szCs w:val="20"/>
                <w:lang w:val="uk-UA"/>
              </w:rPr>
              <w:t>22 фондовых бирж</w:t>
            </w:r>
          </w:p>
        </w:tc>
        <w:tc>
          <w:tcPr>
            <w:tcW w:w="3639"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Calibri" w:hAnsi="Calibri" w:cs="Calibri"/>
                <w:sz w:val="20"/>
                <w:szCs w:val="20"/>
              </w:rPr>
            </w:pPr>
            <w:r>
              <w:rPr>
                <w:rFonts w:ascii="Times New Roman CYR" w:hAnsi="Times New Roman CYR" w:cs="Times New Roman CYR"/>
                <w:sz w:val="20"/>
                <w:szCs w:val="20"/>
                <w:lang w:val="uk-UA"/>
              </w:rPr>
              <w:t>Лондон, Глазго, Бирмингем, Ливерпуль</w:t>
            </w:r>
          </w:p>
        </w:tc>
        <w:tc>
          <w:tcPr>
            <w:tcW w:w="2053"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Calibri" w:hAnsi="Calibri" w:cs="Calibri"/>
                <w:sz w:val="20"/>
                <w:szCs w:val="20"/>
              </w:rPr>
            </w:pPr>
            <w:r>
              <w:rPr>
                <w:rFonts w:ascii="Times New Roman CYR" w:hAnsi="Times New Roman CYR" w:cs="Times New Roman CYR"/>
                <w:sz w:val="20"/>
                <w:szCs w:val="20"/>
                <w:lang w:val="uk-UA"/>
              </w:rPr>
              <w:t>Лондонскяа ФБ</w:t>
            </w:r>
          </w:p>
        </w:tc>
      </w:tr>
      <w:tr w:rsidR="00CA7AE8">
        <w:tc>
          <w:tcPr>
            <w:tcW w:w="1890"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Calibri" w:hAnsi="Calibri" w:cs="Calibri"/>
                <w:sz w:val="20"/>
                <w:szCs w:val="20"/>
              </w:rPr>
            </w:pPr>
            <w:r>
              <w:rPr>
                <w:rFonts w:ascii="Times New Roman CYR" w:hAnsi="Times New Roman CYR" w:cs="Times New Roman CYR"/>
                <w:sz w:val="20"/>
                <w:szCs w:val="20"/>
                <w:lang w:val="uk-UA"/>
              </w:rPr>
              <w:t>Франция</w:t>
            </w:r>
          </w:p>
        </w:tc>
        <w:tc>
          <w:tcPr>
            <w:tcW w:w="1657"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Calibri" w:hAnsi="Calibri" w:cs="Calibri"/>
                <w:sz w:val="20"/>
                <w:szCs w:val="20"/>
              </w:rPr>
            </w:pPr>
            <w:r>
              <w:rPr>
                <w:rFonts w:ascii="Times New Roman CYR" w:hAnsi="Times New Roman CYR" w:cs="Times New Roman CYR"/>
                <w:sz w:val="20"/>
                <w:szCs w:val="20"/>
                <w:lang w:val="uk-UA"/>
              </w:rPr>
              <w:t>8 фондовых бирж</w:t>
            </w:r>
          </w:p>
        </w:tc>
        <w:tc>
          <w:tcPr>
            <w:tcW w:w="3639"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Calibri" w:hAnsi="Calibri" w:cs="Calibri"/>
                <w:sz w:val="20"/>
                <w:szCs w:val="20"/>
              </w:rPr>
            </w:pPr>
            <w:r>
              <w:rPr>
                <w:rFonts w:ascii="Times New Roman CYR" w:hAnsi="Times New Roman CYR" w:cs="Times New Roman CYR"/>
                <w:sz w:val="20"/>
                <w:szCs w:val="20"/>
                <w:lang w:val="uk-UA"/>
              </w:rPr>
              <w:t>Париж, Лион, Марсель, Лилль, Бордо, Нант, Тулуза</w:t>
            </w:r>
          </w:p>
        </w:tc>
        <w:tc>
          <w:tcPr>
            <w:tcW w:w="2053"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Calibri" w:hAnsi="Calibri" w:cs="Calibri"/>
                <w:sz w:val="20"/>
                <w:szCs w:val="20"/>
              </w:rPr>
            </w:pPr>
            <w:r>
              <w:rPr>
                <w:rFonts w:ascii="Times New Roman CYR" w:hAnsi="Times New Roman CYR" w:cs="Times New Roman CYR"/>
                <w:sz w:val="20"/>
                <w:szCs w:val="20"/>
                <w:lang w:val="uk-UA"/>
              </w:rPr>
              <w:t>Парижская фондовая биржа</w:t>
            </w:r>
          </w:p>
        </w:tc>
      </w:tr>
      <w:tr w:rsidR="00CA7AE8">
        <w:tc>
          <w:tcPr>
            <w:tcW w:w="1890"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Calibri" w:hAnsi="Calibri" w:cs="Calibri"/>
                <w:sz w:val="20"/>
                <w:szCs w:val="20"/>
              </w:rPr>
            </w:pPr>
            <w:r>
              <w:rPr>
                <w:rFonts w:ascii="Times New Roman CYR" w:hAnsi="Times New Roman CYR" w:cs="Times New Roman CYR"/>
                <w:sz w:val="20"/>
                <w:szCs w:val="20"/>
                <w:lang w:val="uk-UA"/>
              </w:rPr>
              <w:t>Германия</w:t>
            </w:r>
          </w:p>
        </w:tc>
        <w:tc>
          <w:tcPr>
            <w:tcW w:w="1657"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Calibri" w:hAnsi="Calibri" w:cs="Calibri"/>
                <w:sz w:val="20"/>
                <w:szCs w:val="20"/>
              </w:rPr>
            </w:pPr>
            <w:r>
              <w:rPr>
                <w:rFonts w:ascii="Times New Roman CYR" w:hAnsi="Times New Roman CYR" w:cs="Times New Roman CYR"/>
                <w:sz w:val="20"/>
                <w:szCs w:val="20"/>
                <w:lang w:val="uk-UA"/>
              </w:rPr>
              <w:t>7 фондовых бирж</w:t>
            </w:r>
          </w:p>
        </w:tc>
        <w:tc>
          <w:tcPr>
            <w:tcW w:w="3639"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Calibri" w:hAnsi="Calibri" w:cs="Calibri"/>
                <w:sz w:val="20"/>
                <w:szCs w:val="20"/>
              </w:rPr>
            </w:pPr>
            <w:r>
              <w:rPr>
                <w:rFonts w:ascii="Times New Roman CYR" w:hAnsi="Times New Roman CYR" w:cs="Times New Roman CYR"/>
                <w:sz w:val="20"/>
                <w:szCs w:val="20"/>
                <w:lang w:val="uk-UA"/>
              </w:rPr>
              <w:t>Франкфурт-на-Майне, Дюссельдорф, Гамбург, Мюнхен, Штутгарт, Бремен, Ганновер</w:t>
            </w:r>
          </w:p>
        </w:tc>
        <w:tc>
          <w:tcPr>
            <w:tcW w:w="2053"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Calibri" w:hAnsi="Calibri" w:cs="Calibri"/>
                <w:sz w:val="20"/>
                <w:szCs w:val="20"/>
              </w:rPr>
            </w:pPr>
            <w:r>
              <w:rPr>
                <w:rFonts w:ascii="Times New Roman CYR" w:hAnsi="Times New Roman CYR" w:cs="Times New Roman CYR"/>
                <w:sz w:val="20"/>
                <w:szCs w:val="20"/>
                <w:lang w:val="uk-UA"/>
              </w:rPr>
              <w:t>Франкфурт-на-Майне.</w:t>
            </w:r>
          </w:p>
        </w:tc>
      </w:tr>
      <w:tr w:rsidR="00CA7AE8">
        <w:tc>
          <w:tcPr>
            <w:tcW w:w="1890"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Calibri" w:hAnsi="Calibri" w:cs="Calibri"/>
                <w:sz w:val="20"/>
                <w:szCs w:val="20"/>
              </w:rPr>
            </w:pPr>
            <w:r>
              <w:rPr>
                <w:rFonts w:ascii="Times New Roman CYR" w:hAnsi="Times New Roman CYR" w:cs="Times New Roman CYR"/>
                <w:sz w:val="20"/>
                <w:szCs w:val="20"/>
                <w:lang w:val="uk-UA"/>
              </w:rPr>
              <w:t>Япония</w:t>
            </w:r>
          </w:p>
        </w:tc>
        <w:tc>
          <w:tcPr>
            <w:tcW w:w="1657"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Calibri" w:hAnsi="Calibri" w:cs="Calibri"/>
                <w:sz w:val="20"/>
                <w:szCs w:val="20"/>
              </w:rPr>
            </w:pPr>
            <w:r>
              <w:rPr>
                <w:rFonts w:ascii="Times New Roman CYR" w:hAnsi="Times New Roman CYR" w:cs="Times New Roman CYR"/>
                <w:sz w:val="20"/>
                <w:szCs w:val="20"/>
                <w:lang w:val="uk-UA"/>
              </w:rPr>
              <w:t>9 фондовых бирж</w:t>
            </w:r>
          </w:p>
        </w:tc>
        <w:tc>
          <w:tcPr>
            <w:tcW w:w="3639"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Calibri" w:hAnsi="Calibri" w:cs="Calibri"/>
                <w:sz w:val="20"/>
                <w:szCs w:val="20"/>
              </w:rPr>
            </w:pPr>
            <w:r>
              <w:rPr>
                <w:rFonts w:ascii="Times New Roman CYR" w:hAnsi="Times New Roman CYR" w:cs="Times New Roman CYR"/>
                <w:sz w:val="20"/>
                <w:szCs w:val="20"/>
                <w:lang w:val="uk-UA"/>
              </w:rPr>
              <w:t>Токио, Нагоя, Киото, Осака, Хиросима, Коба, Ниигата, Фукуока, Саппоро.</w:t>
            </w:r>
          </w:p>
        </w:tc>
        <w:tc>
          <w:tcPr>
            <w:tcW w:w="2053"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Calibri" w:hAnsi="Calibri" w:cs="Calibri"/>
                <w:sz w:val="20"/>
                <w:szCs w:val="20"/>
              </w:rPr>
            </w:pPr>
            <w:r>
              <w:rPr>
                <w:rFonts w:ascii="Times New Roman CYR" w:hAnsi="Times New Roman CYR" w:cs="Times New Roman CYR"/>
                <w:sz w:val="20"/>
                <w:szCs w:val="20"/>
                <w:lang w:val="uk-UA"/>
              </w:rPr>
              <w:t>Токийская фондовая биржа</w:t>
            </w:r>
          </w:p>
        </w:tc>
      </w:tr>
      <w:tr w:rsidR="00CA7AE8">
        <w:tc>
          <w:tcPr>
            <w:tcW w:w="1890"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Канада</w:t>
            </w:r>
          </w:p>
        </w:tc>
        <w:tc>
          <w:tcPr>
            <w:tcW w:w="1657"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фондовых бирж</w:t>
            </w:r>
          </w:p>
        </w:tc>
        <w:tc>
          <w:tcPr>
            <w:tcW w:w="3639"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Calibri" w:hAnsi="Calibri" w:cs="Calibri"/>
                <w:sz w:val="20"/>
                <w:szCs w:val="20"/>
              </w:rPr>
            </w:pPr>
            <w:r>
              <w:rPr>
                <w:rFonts w:ascii="Times New Roman CYR" w:hAnsi="Times New Roman CYR" w:cs="Times New Roman CYR"/>
                <w:sz w:val="20"/>
                <w:szCs w:val="20"/>
                <w:lang w:val="uk-UA"/>
              </w:rPr>
              <w:t>Монреаль, Торонто, Ванкувер, Калгари, Виннипег</w:t>
            </w:r>
          </w:p>
        </w:tc>
        <w:tc>
          <w:tcPr>
            <w:tcW w:w="2053" w:type="dxa"/>
            <w:tcBorders>
              <w:top w:val="single" w:sz="6" w:space="0" w:color="auto"/>
              <w:left w:val="single" w:sz="6" w:space="0" w:color="auto"/>
              <w:bottom w:val="single" w:sz="6" w:space="0" w:color="auto"/>
              <w:right w:val="single" w:sz="6" w:space="0" w:color="auto"/>
            </w:tcBorders>
          </w:tcPr>
          <w:p w:rsidR="00CA7AE8" w:rsidRDefault="00054328">
            <w:pPr>
              <w:widowControl w:val="0"/>
              <w:autoSpaceDE w:val="0"/>
              <w:autoSpaceDN w:val="0"/>
              <w:adjustRightInd w:val="0"/>
              <w:spacing w:after="0" w:line="240" w:lineRule="auto"/>
              <w:rPr>
                <w:rFonts w:ascii="Calibri" w:hAnsi="Calibri" w:cs="Calibri"/>
                <w:sz w:val="20"/>
                <w:szCs w:val="20"/>
              </w:rPr>
            </w:pPr>
            <w:r>
              <w:rPr>
                <w:rFonts w:ascii="Calibri" w:hAnsi="Calibri" w:cs="Calibri"/>
                <w:sz w:val="20"/>
                <w:szCs w:val="20"/>
              </w:rPr>
              <w:t xml:space="preserve"> </w:t>
            </w:r>
          </w:p>
        </w:tc>
      </w:tr>
    </w:tbl>
    <w:p w:rsidR="00CA7AE8" w:rsidRDefault="00CA7AE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Наибольшими представителями мировых являются биржи в Нью-Йорке (здесь продается 85-90% всех ценных бумаг США), в Лондоне, Токио и Париже.</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Биржевая система США.</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Под кратким названием «Уолл-стрит» подразумеваются все биржи США, на которых продаются и покупаются ценные бумаги: Нюь-Йоркская фондовая биржа (New York </w:t>
      </w:r>
      <w:r>
        <w:rPr>
          <w:rFonts w:ascii="Times New Roman CYR" w:hAnsi="Times New Roman CYR" w:cs="Times New Roman CYR"/>
          <w:sz w:val="28"/>
          <w:szCs w:val="28"/>
          <w:lang w:val="en-US"/>
        </w:rPr>
        <w:t>Stock</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Exchange</w:t>
      </w:r>
      <w:r>
        <w:rPr>
          <w:rFonts w:ascii="Times New Roman CYR" w:hAnsi="Times New Roman CYR" w:cs="Times New Roman CYR"/>
          <w:sz w:val="28"/>
          <w:szCs w:val="28"/>
        </w:rPr>
        <w:t xml:space="preserve"> - </w:t>
      </w:r>
      <w:r>
        <w:rPr>
          <w:rFonts w:ascii="Times New Roman CYR" w:hAnsi="Times New Roman CYR" w:cs="Times New Roman CYR"/>
          <w:sz w:val="28"/>
          <w:szCs w:val="28"/>
          <w:lang w:val="en-US"/>
        </w:rPr>
        <w:t>NYSE</w:t>
      </w:r>
      <w:r>
        <w:rPr>
          <w:rFonts w:ascii="Times New Roman CYR" w:hAnsi="Times New Roman CYR" w:cs="Times New Roman CYR"/>
          <w:sz w:val="28"/>
          <w:szCs w:val="28"/>
        </w:rPr>
        <w:t>), Американская фондовая биржа (</w:t>
      </w:r>
      <w:r>
        <w:rPr>
          <w:rFonts w:ascii="Times New Roman CYR" w:hAnsi="Times New Roman CYR" w:cs="Times New Roman CYR"/>
          <w:sz w:val="28"/>
          <w:szCs w:val="28"/>
          <w:lang w:val="en-US"/>
        </w:rPr>
        <w:t>American</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Stock</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Exchange</w:t>
      </w:r>
      <w:r>
        <w:rPr>
          <w:rFonts w:ascii="Times New Roman CYR" w:hAnsi="Times New Roman CYR" w:cs="Times New Roman CYR"/>
          <w:sz w:val="28"/>
          <w:szCs w:val="28"/>
        </w:rPr>
        <w:t>- AMEX) и региональные фондовые биржи. [4, стр. 34]. Основой биржевой системы США является Нью-Йоркская фондовая биржа.</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Нью-Йоркская фондовая биржа появилась в начале 18 века, однако до 1792 года, когда в Нью-Йоркских газетах впервые появилось упоминание о каком-либо конкретном рынке ценных бумаг, она выполняла главным образом функции товарной биржи. В 1792 году было подписано первоначальное соглашение брокеров, а в 1817 году были приняты Устав и наименование «Нью-Йоркский фондовый и биржевой совет».</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протяжении многих лет NYSE была организована как «добровольная ассоциация», и лишь в 1972 году она была реорганизована в некоммерческую корпорацию штата Нью-Йорк.</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Работой биржи руководит Совет директоров, состоящий из 27 членов. Число членов NYSE составляет примерно 1400 человек. Ежегодно несколько десятков мест меняют своих владельцев, но в целом контингент членов NYSE характеризуется постоянством и высокой стабильностью, что делает эту биржу одним из наиболее элитных институтов американского фондового рынка. [4, стр. 34-36].</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1978 г. у членов биржи появилась возможность сдавать в аренду свои места тем, кто соответствует требованиям действительного членства на бирже. В результате многие места на бирже стали покупаться главным образом в качестве инвестиций или спекуляции на более высоких ценах в будущем.</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компаний, удовлетворяющих требованиям биржи, всегда существует возможность покупки «места» на бирже. Цена «места» зависит от ситуации на рынке, и может колебаться в очень большом интервале. Самая высокая цена за «место» на NYSE была заплачена 23 августа 1999г. и составляла $2,650,000. Член биржи - это компания или частное лицо, владеющее «местом» в торговом зале. Только членам биржи разрешено покупать и продовать ценные бумаги в торговом зале. Чтобы стать членом, компания должна соответствовать строгим стандартам, установленным биржей. Количество «мест» оставалось неизменным </w:t>
      </w:r>
      <w:r>
        <w:rPr>
          <w:rFonts w:ascii="Times New Roman CYR" w:hAnsi="Times New Roman CYR" w:cs="Times New Roman CYR"/>
          <w:sz w:val="28"/>
          <w:szCs w:val="28"/>
        </w:rPr>
        <w:lastRenderedPageBreak/>
        <w:t>(1,366) с 1953 года. Организации-инвесторы - это корпорации, вкладывающие от лица частных лиц и компаний. Они включают в себя пенсионные и взаимные фонды, страховые компании и банки.</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Нью-Йоркской фондовой бирже котируется более 2000 акций и более 3500 облигаций. Основными критериями, на основе которых осуществляется допуск ценных бумаг к котировке, являются показатели активов, доходов, получаемых эмитентом от хозяйственной деятельности, а также регулярность получения прибыли акционерами. Включение в списки ценных бумаг, допущенных к котировке на Нью-Йоркской фондовой бирже, является признанием того, что эмитент-институт достиг зрелости и статуса передовой корпорации в своей области.</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Основные показатели, на основе которых осуществляется включение, например, акций в списки биржи, различаются в зависимости от того, эмитентами какой страны они выпущены - США или другой. Акции американских корпораций могут быть включены в списки фондовой биржи, если количество владельцев 100 и более акций составляет 2000 общее число акционеров - 2200;</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соответствии с Правилами включения и исключения ценных бумаг из списков Нью-Йоркской фондовой биржи, кроме этих показателей, также учитывается и ряд других. Например, корпорация должна быть действующей, а не такой, который готовится к ликвидации, обращается внимание на характер рынка ее продукции, относительную стабильность положения эмитента в отрасли, перспективы развития отрасли и корпорации.</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Совокупная рыночная стоимость акций, выпущенных корпорацией, должна быть не менее 5 млн. долларов, эмитент должен быть способным выплачивать проценты по всем своим обязательствам.</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Акции иностранных компаний могут быть включены в списки фондовой </w:t>
      </w:r>
      <w:r>
        <w:rPr>
          <w:rFonts w:ascii="Times New Roman CYR" w:hAnsi="Times New Roman CYR" w:cs="Times New Roman CYR"/>
          <w:sz w:val="28"/>
          <w:szCs w:val="28"/>
        </w:rPr>
        <w:lastRenderedPageBreak/>
        <w:t>биржи, если количество владельцев 100 и более акций составляет 5000 во всем мире; рыночная стоимость их достигает 100 млн. долларов во всем мире; прибыль до вычета налогов - 100 млн. долларов за последние три года, из них минимум 25 млн. долларов в течение одного с трех лет.</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Ценные бумаги, находящиеся в обращении на Нью-Йоркской фондовой бирже, котируются в одном (официальном) режиме. Других режимов котировки не существует. До настоящего времени основной формой торговли являются аукционы «с голоса». Котировки курсов, а также клиринговые и расчетные операции выполняются с помощью компьютерных средств.</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Торговлю на фондовой бирже имеют право осуществлять только члены биржи. Участники торгов могут выступать как специалисты, дилеры по покупке и продаже неполных лотов, комиссионные брокеры, брокеры операционного зала, зарегистрированные торговцы.</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Специалисты составляют около 25 процентов всех участников биржевой торговли. Они представляют собой определенные центры аукционной торговли, главная задача которых заключается в том, чтобы обеспечивать ликвидность ценных бумаг и последовательность цен на них. Специалист торгует акциями 12-14 эмитентов. Он должен иметь достаточно большую сумму собственных, а не заемных денег (примерно 500 тыс. долларов) или такую сумму, которая позволяет ему приобрести 5000 акций одного эмитента, если стоимость таких акций выше 500 тыс. долларов. Специалист также должен иметь необходимую профессиональную подготовку.</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Специалисты на Нью-Йоркской фондовой бирже выполняют две основные функции. Они предоставляют брокерские услуги брокерам, которые выполняют лимитные и специальные приказы клиентов, и являются дилерами относительно вышеупомянутых акций 12-14 эмитентов. В последнем случае с целью обеспечения ликвидности специалисты обязаны их покупать, если спрос на них </w:t>
      </w:r>
      <w:r>
        <w:rPr>
          <w:rFonts w:ascii="Times New Roman CYR" w:hAnsi="Times New Roman CYR" w:cs="Times New Roman CYR"/>
          <w:sz w:val="28"/>
          <w:szCs w:val="28"/>
        </w:rPr>
        <w:lastRenderedPageBreak/>
        <w:t>падает, и продавать указанные акции, если спрос на них повышается.</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Дилеры, торгующие неполными лотами, осуществляют покупку или продажу акций в случаях, когда в пакете меньше, чем обычно, их количество. Обычным пакетом акций на Нью-Йоркской фондовой бирже считается пакет, равный 100 акциям или числу, кратному 100 акций. Торговлю неполными лотами акций на указанной бирже начали осуществлять в 1976 году; до этого ее проводили в специальной палате.</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комиссионные брокеры на бирже выступают служащие брокерских фирм, которые являются членами Нью-Йоркской фондовой биржи. Комиссионные брокеры работают в операционном зале и выполняют поручения клиентов своей фирмы. Заказы клиентов на покупку или продажу акций поступают к комиссионным брокерам от служащих, работающих в офисе брокерской фирмы.</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Брокерами операционного зала являются участники фондовой биржи, которые не являются служащими брокерской фирмы, которая работает с инвесторами, но помогают комиссионным брокерам выполнять заказы, если они получают их одновременно в большом количестве. Брокеры операционного зала, таким образом, предоставляют услуги другим брокерам, торгующим на фондовой бирже, и не работают с инвесторами.</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Зарегистрированные торговцы представляют собой таких участников фондовой биржи, которым разрешено продавать и покупать ценные бумаги за свой счет. Торговцы не принимают и не выполняют поручений клиентов. Считается, что зарегистрированные торговцы своими действиями способствуют повышению ликвидности ценных бумаг, поскольку они находятся в операционном зале, имеют доступ к информации о текущих курсах и могут быстро реагировать на изменения последних.</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Институциональные инвесторы, в особенности пенсионные и взаимные </w:t>
      </w:r>
      <w:r>
        <w:rPr>
          <w:rFonts w:ascii="Times New Roman CYR" w:hAnsi="Times New Roman CYR" w:cs="Times New Roman CYR"/>
          <w:sz w:val="28"/>
          <w:szCs w:val="28"/>
        </w:rPr>
        <w:lastRenderedPageBreak/>
        <w:t>фонды, обладают все большей долей акций без фиксированного дивиденда. В конце 3-го квартала 2011г. частные и общественные пенсионные фонды обладали, согласно данным квартального отчета Федерального резервного управления, $2.4 триллионами, или 21.5% от общего количества непогашенных ценных бумаг. Институциональные инвесторы США, обладавшие еще в 1950г 7.2% всех ценных бумаг, обладают на сегодняшний день $5.5 триллионами, или 49.8% всех непогашенных ценных бумаг. [28]</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Вторая по значимости биржа США - Американская фондовая биржа (American Stock Exchange). Она существовала как неофициальный рынок ценных бумаг еще с середины 19в, однако лишь в 1921-м году она приобрела свой постоянный торговый зал.</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Несмотря на то, что Американская фондовая биржа является второй по значению биржей США, как по показателям деловой активности, так и по объему продаж в денежном выражении, она значительно уступает по этим показателям Нью-Йоркской фондовой бирже и внебиржевой системе автоматизированной котировки Национальной ассоциации дилеров по ценным бумагам (NASDAQ).</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Требования, предъявляемые при регистрации ценных бумаг на Amex менее строги по сравнению со стандартами NYSE, поэтому перспективные и растущие компании сначала размещают свои акции на Американской фондовой бирже, а затем, если в течение длительного промежутка времени эти корпорации оправдывают связанные с ними ожидания, их ценные бумаги перемещаются на NYSE. Подобный путь в свое время проделали ценные бумаги таких корпораций, как General Motors, Radio </w:t>
      </w:r>
      <w:r>
        <w:rPr>
          <w:rFonts w:ascii="Times New Roman CYR" w:hAnsi="Times New Roman CYR" w:cs="Times New Roman CYR"/>
          <w:sz w:val="28"/>
          <w:szCs w:val="28"/>
          <w:lang w:val="en-US"/>
        </w:rPr>
        <w:t>Corporation</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of</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America</w:t>
      </w:r>
      <w:r>
        <w:rPr>
          <w:rFonts w:ascii="Times New Roman CYR" w:hAnsi="Times New Roman CYR" w:cs="Times New Roman CYR"/>
          <w:sz w:val="28"/>
          <w:szCs w:val="28"/>
        </w:rPr>
        <w:t xml:space="preserve"> и др.</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биржевые системы стран Западной Европы.</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Великобритания.</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Фондовый рынок Великобритании традиционно является важной частью кредитно-финансовой системы страны. Лидирующие позиции на британском </w:t>
      </w:r>
      <w:r>
        <w:rPr>
          <w:rFonts w:ascii="Times New Roman CYR" w:hAnsi="Times New Roman CYR" w:cs="Times New Roman CYR"/>
          <w:sz w:val="28"/>
          <w:szCs w:val="28"/>
        </w:rPr>
        <w:lastRenderedPageBreak/>
        <w:t>рынке ценных бумаг прочно занимает Лондонская фондовая биржа. Так же в Великобритании функционирует еще ряд региональных бирж в Манчестере, Бирмингеме, Глазго и Белфасте, но они играют второстепенные роли в экономике страны.</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Лондонская биржа, с конца 80-х годов ставшая называться Международной фондовой биржей, по праву может считаться одной из наиболее интернациональных бирж мира. Объем торговли некоторыми акциями других европейских стран в Лондоне больше, чем в родной стране. По количеству котируемых на бирже иностранных эмиссий она уступает лишь Женевской фондовой бирже, а также всем биржам Германии, вместе взятым.</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Фирмы - члены Международной Лондонской фондовой биржи разбиваются на три категории. Первая наиболее важная. К ней относятся члены биржи, которые могут являться либо дилерами, либо брокерами, либо дилерами и брокерами одновременно.</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член биржи занимается дилерской деятельностью, он может зарегистрироваться на бирже в качестве формирователя рынка - «маркетмейкера». Как правило, такие функции берут на себя только крупные фирмы. Основная их функция - активная покупка (продажа) ценных бумаг в установленный период времени, который называют обязательным периодом котировок. Формирователи рынка предлагают цены, по которым они хотели бы совершать сделки. Так как число формирователей достаточно велико, то между ними возникает конкуренция, что приводит к более обоснованным ценам на ценные бумаги. Формирователи рынка обязаны при котировке указывать два курса: цену спроса (покупателя) и цену предложения (продавца). Например, котировка в виде 143-6.10 х 10 означает, что формирователь рынка готов купить до 10000 акций по цене 143 пенса и продать до 10000 акций по цене 146 пенсов. Разница между курсами (3 пенса) составляет спрэд (курсовую разницу).</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Вторую категорию членов Лондонской фондовой биржи составляют междилерские брокеры. Это фирмы, которые оказывают посреднические услуги тем формирователям рынка, которые хотели бы взаимодействовать друг с другом анонимно. Использование междилерских брокеров позволяет формирователям рынка скрывать от конкурентов свои текущие позиции по ценным бумагам. Третью категорию членов представляют денежные брокеры. Основная их функция - заимствование ценных бумаг для формирователей рынка.</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80-х годах Лондонская биржа явилась местом значительных перемен в рамках проведенной с 1983 по 1986 г. реформы, направленной главным образом на повышение международной конкурентоспособности биржи, и, следовательно, на укрепление позиций британского капитала. Иностранным компаниям было разрешено становиться полноценными членами биржи. В настоящее время к торговле допущены компании из более чем 60-ти стран. [33]</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Настоящей революцией на этой бирже стало введение системы автоматизированных биржевых котировок, подобной американской системе NASDAQ. В результате этого нововведения у членов биржи появилась возможность осуществлять сделки непосредственно через компьютерные терминалы. Вскоре система электронных торгов практически полностью вытеснила торговлю в операционном зале, и Лондонская фондовая биржа стала первой крупной биржей, отказавшейся от традиционного операционного зала и заменившая его системой электронных торгов.</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Франция.</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Среди семи французских фондовых бирж Парижская является бесспорным лидером.</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Фондовые биржи местного значения находятся также в Бордо, Лиле, Лионе, Марселе, в Нанси и в Нанте. Одной из отличительных черт Французской биржевой системы всегда являлся жесткий государственных контроль над </w:t>
      </w:r>
      <w:r>
        <w:rPr>
          <w:rFonts w:ascii="Times New Roman CYR" w:hAnsi="Times New Roman CYR" w:cs="Times New Roman CYR"/>
          <w:sz w:val="28"/>
          <w:szCs w:val="28"/>
        </w:rPr>
        <w:lastRenderedPageBreak/>
        <w:t>биржами. В настоящее время фондовая биржа подчиняется министерству экономики и финансов, однако в последние годы правительством были сделаны определенные шаги в сторону определенного «дерегулирования» фондового рынка.</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Швейцария.</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Всего в Швейцарии функционирует 7 фондовых бирж, среди которых выделятся Цюрихская, Женевская и Базельская, причем на Цюрихскую биржу приходится около 70% годового объема торговли. Характерной особенностью биржевой системы можно назвать монопольное господство на фондовом рынке Швейцарии крупнейших банков страны. Государственное регулирование биржевой деятельности малозаметно, гораздо большее значение имеет довольно строгое банковское «саморегулирование».</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Еще одной характерной чертой фондового рынка Швейцарии является его международная направленность. Огромное значение Швейцарии как международного финансового центра не может не отражаться и на фондовом рынке страны, где около половины акций и 1/3 облигаций - иностранные. Такая приспособленность рынка ценных бумаг к потребностям мирового капитала благоприятно отражается на экономике страны в целом, и на деятельности крупных Швейцарских корпораций, в частности. Акции таких компаний, как «Nestle», «UBS» пользуются огромным спросом на крупнейших фондовых биржах мира.</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Германия.</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и для Швейцарии, для Германии характерно особенно сильное влияние монопольных банков на фондовый рынок страны. Крупнейшие банки практически полностью монополизируют фондовый рынок, они занимаются эмиссией и размещением ценных бумаг, активно участвуют на вторичном рынке и сами владеют крупными пакетами ценных бумаг.</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Всего в Германии находятся 7 фондовых бирж, расположенных в Ганновере, Мюнхене, Штутгарте, Берлине, Дюссельдорфе, Бремене и во Франкфурте-на-Майне. Франкфуртская биржа, занимающая лидирующую позицию среди них, является также одной из крупнейших бирж Европы.</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Япония.</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Токийская фондовая биржа возникла в 1878 году, однако в современном виде существует с 1949 года. На указанной бирже котируются акции около 1500 эмитентов, а также облигации</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Токийская фондовая биржа - это особый вид юридического лица. Все 114 ее членов - организации. В отличие, например, от американских фондовых бирж, членство частных лиц на ТФБ не допускается. Высшим органом биржи является общее собрание членов, которое решает только наиболее существенные вопросы, связанные с изменением в уставе.</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Токийская фондовая биржа делится на две секции: первая - для крупных корпораций, а на второй обращаются акции компаний средней величины. Новички попадают сначала во вторую секцию, и лишь год спустя могут пройти экзамен на право войти в элиту.</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Торги ценными бумагами проводятся в двух формах: путем аукциона «с голоса» и в электронном режиме. Ценные бумаги котируются только официально. На Токийской фондовой бирже существует два операционных зала: один - для аукциона «с голоса», второй - для компьютерных торгов.</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Аукционная торговля «с голоса» осуществляется по около 200 акциям, наиболее активно покупаются и продаются. Торги с другими акциями, включая иностранные, проводятся в электронном режиме. В операционном зале, в котором происходит торговля «с голоса», также как и на Нью-Йоркской фондовой бирже, находятся посты специалистов (Saitory posts) и брокерские места. Saitory и брокеры являются основными участниками биржевой торговли </w:t>
      </w:r>
      <w:r>
        <w:rPr>
          <w:rFonts w:ascii="Times New Roman CYR" w:hAnsi="Times New Roman CYR" w:cs="Times New Roman CYR"/>
          <w:sz w:val="28"/>
          <w:szCs w:val="28"/>
        </w:rPr>
        <w:lastRenderedPageBreak/>
        <w:t>«с голоса». Обе категории участников выполняют функции, аналогичные тем, которые осуществляются, соответственно, специалистами и комиссионными брокерами Нью-Йоркской бирже.</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операционном зале электронной торговли находятся только компьютеры, средства связи и Saitory. Другие участники фондовой биржи физически во время торговли в этом зале не присутствуют. Брокерские фирмы-участники фондовой биржи запрашивают необходимую информацию, посылают заказы и заключают сделки в электронном (компьютерном) режиме, не выходя из своих офисов, расположенных вне здания биржи. Заказ направляются с помощью устройства для считывания карточек заказов, установленного в офисе брокерской фирмы, а сообщение о приеме заказа получают через специальный принтер. Saitory, которые находятся в зале электронной торговли, сопоставляют введенные в компьютерной сети заказ на покупку и продажу, которые высвечиваются у них на дисплее компьютера. Затем они принимают решение о том, какие заказы и в какой степени должны быть выполнены. Подтверждения о заключении соглашения передаются Saitory брокерским фирмам также в компьютерном режиме. В случаях, когда заказ на покупку совпадает с заказом на продажу, сделка заключается автоматически. Saitory также может задать программу компьютеру так, чтобы заказ на приобретение и продажу ценных бумаг по ценам с разницей в пятьдесят иен тоже выполнялись в автоматическом режиме. В настоящее время в режиме электронной торговли около 50 процентов сделок осуществляются компьютерами без участия Saitory.</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Электронная торговля ценными бумагами на Токийской фондовой бирже осуществляется с помощью компьютерной системы передачи и выполнения заказов. Указанная система была введена в действие в 1982 году, и ее использование позволило значительно сократить период между моментом подачи заказа и подтверждением сделки. Раньше на это тратилось 15-30, минут с </w:t>
      </w:r>
      <w:r>
        <w:rPr>
          <w:rFonts w:ascii="Times New Roman CYR" w:hAnsi="Times New Roman CYR" w:cs="Times New Roman CYR"/>
          <w:sz w:val="28"/>
          <w:szCs w:val="28"/>
        </w:rPr>
        <w:lastRenderedPageBreak/>
        <w:t>введением этой системы данный период сократился до 30 секунд. .[34]</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 больший интерес к использованию Токийской биржи проявляют иностранные компании. Со второй половины 80-х гг. число зарегистрированных на ТФБ зарубежных фирм все увеличивалось и достигло 120, тогда как в 1985 г было всего 20. Среди них такие всемирно известные американские фирмы, как «Тексас инструментс», «Хьюлетт-Паккард», «Моторола», Дойче Банк из ФРГ.</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Основными действующими лицами на бирже являются брокерские дома. Всего их более 100. На сегодняшний день крупнейшие из них - «Номура», «Дайва», «Никко». Прямо или косвенно (через филиалы) они держат в своих руках примерно 50% всех сделок с акциями на Токийской бирже. [35]</w:t>
      </w:r>
    </w:p>
    <w:p w:rsidR="00CA7AE8" w:rsidRDefault="00CA7AE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Проблемы функционирования и способы совершенствования деятельности фондовых бирж Украины</w:t>
      </w:r>
    </w:p>
    <w:p w:rsidR="00CA7AE8" w:rsidRDefault="00CA7AE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Фондовая биржа играет важную роль в обеспечении развития национальной экономики, ведь ее деятельность направлена на мобилизацию, распределение и перераспределение финансовых ресурсов при помощи организации составления соглашений по купле-продаже ценных бумаг и их производных.</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Неразвитость фондовых бирж в Украине сдерживает экономическое развитие, поступление иностранных инвестиций, повышение эффективности перераспределения средств в экономике. При таких условиях вопрос развития фондовых бирж, обеспечения их прочности и стойкости к внешним факторам остается особенно актуальным.</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Деятельность фондовых бирж в современной экономике обеспечивает формирование открытого, эффективного, ликвидного рынка ценных бумаг способствует снижению рисков операций с ценными бумагами, справедливому </w:t>
      </w:r>
      <w:r>
        <w:rPr>
          <w:rFonts w:ascii="Times New Roman CYR" w:hAnsi="Times New Roman CYR" w:cs="Times New Roman CYR"/>
          <w:sz w:val="28"/>
          <w:szCs w:val="28"/>
        </w:rPr>
        <w:lastRenderedPageBreak/>
        <w:t>ценообразованию на фондовые инструменты. На современном этапе существует ряд проблем функционирования украинских фондовых бирж.</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Динамика и проблемы деятельности фондовых бирж в Украине исследованы недостаточно. В более детальном анализе нуждается вопрос особенностей определения капитализации фондовых бирж, факторов влияния на их развитие, методов обеспечения их экономического роста и возможностей их использования в Украине.</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Показателем мощности функционирования фондовой биржи является капитализация, которая предусматривает оценку уровня его развития и конкурентоспособности на внутреннем и внешнем рынках. Сравнению со странами с развитой рыночной экономикой, капитализация фондовых бирж Украины является чрезвычайно низкой. Это обусловлено особенностями становления и развития рынка ценных бумаг в стране, его раздробленностью и неустроенностью.</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Одним из факторов, которые предопределяют слабый уровень развития фондовых бирж в Украине является отсутствие достоверной и полной информации об уровне капитализации основных субъектов хозяйствования. Закрытость компаний, не дает возможности инвесторам уверенности во вложении средств. Кроме того, высокая степень теневой экономической деятельности и отчетность, которая не переведена на международные бухгалтерские стандарты, делают их менее привлекательными для инвесторов.</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сегодняшний день основным документом, согласно которому работают биржи, является Положение о функционировании фондовых бирж, утвержденное Комиссией еще в 2006 году. За это время произошло много изменений в деятельности фондового рынка и потребностях организаторов торговли. Следовательно, необходимо внести ряд изменений к нормативному акту [].</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Так же хаотичность и бессистемность развития фондового рынка Украины, которая характеризуется отсутствием единой налаженной модели деятельности фондовых бирж при массовой приватизации, начиная с середины 90- х годов. Результатом этого является то, что Государственная комиссия по ценным бумагам и фондовому рынку (ГКЦБФР) выдала лицензии региональным биржам для разгосударствления предприятий страны. В связи с этим сейчас в Украине существуют 10 организаторов торгов с лицензией ГКЦБФР, 8 из которых зарегистрированные как биржи, а другие 2 - как торгово-информационные системы. Следствием этого является то, что наиболее активными организаторами торгов финансовыми активами являются всего две платформы: Первая фондовая торговая система (ПФТС) и Украинская биржа (УБ). Уровень "технических" соглашений на УБ и на ПФТС приблизительно одинаковый и не превышает 20% на каждой из бирж. По другим оценкам, на УБ -10-20%, на ПФТС - 20-30%. Другие 8 организаторов практически не работают.</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Высокая степень риска относительно использования нагроможденного капитала в реальном секторе экономики, что обусловлено значительной изменчивостью и зависимостью от внешних финансовых ресурсов рынка ценных бумаг страны.</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Одной из проблем фондовых бирж является ограниченность финансовых инструментов, которые используются финансовыми посредниками и низкая степень использования производных ценных бумаг.</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Стоит отметить значительную степень монополизации рынка, поскольку 57% рыночной капитализации фондовых бирж обеспечивают 10 самых больших компаний, акции которых котируются на них.</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 же проблемой является низкий уровень информированности населения по вопросам функционирования фондового рынка. Это приводит к низкой активности физических лиц на фондовой бирже, вопреки тому, что они являются </w:t>
      </w:r>
      <w:r>
        <w:rPr>
          <w:rFonts w:ascii="Times New Roman CYR" w:hAnsi="Times New Roman CYR" w:cs="Times New Roman CYR"/>
          <w:sz w:val="28"/>
          <w:szCs w:val="28"/>
        </w:rPr>
        <w:lastRenderedPageBreak/>
        <w:t>одним из главных инвесторов в развитых странах. По статистике только 7% населения Украины знают, что такое фондовые биржи и что на них можно зарабатывать. Такая ситуация вызвана, в первую очередь, отсутствием рекламы такого инструмента вложения капитала, и отсутствием государственной программы развития фондового рынка, и как следствие фондовых бирж. [4, c. 45]</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Существует высокий потенциал развития отечественных фондовых бирж, однако наблюдается низкий уровень его использования. Поэтому фондовые биржи в Украине не выполняют своих основных функций организатора торговли ценными бумагами на основе принципов прозрачности, ликвидности и обеспеченности.</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Исследования показали, что преодоление существующих проблем фондовых бирж Украины предусматривает необходимость усовершенствования законодательства, регулирующего деятельность рынка ценных бумаг и отдельных составляющих его инфраструктуры, а также установление более жесткой ответственности за нарушение его требований. В частности, для развития уровня капитализации фондовых бирж Украины необходимо разработать долгосрочную стратегию развития фондовых бирж с учетом особенностей национальной экономики и динамики развития мирового фондового рынка.</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Необходимо обеспечить поэтапное создание крупной биржи, охватывающей все аспекты де</w:t>
      </w:r>
      <w:r>
        <w:rPr>
          <w:rFonts w:ascii="Times New Roman CYR" w:hAnsi="Times New Roman CYR" w:cs="Times New Roman CYR"/>
          <w:sz w:val="28"/>
          <w:szCs w:val="28"/>
          <w:lang w:val="uk-UA"/>
        </w:rPr>
        <w:t>я</w:t>
      </w:r>
      <w:r>
        <w:rPr>
          <w:rFonts w:ascii="Times New Roman CYR" w:hAnsi="Times New Roman CYR" w:cs="Times New Roman CYR"/>
          <w:sz w:val="28"/>
          <w:szCs w:val="28"/>
        </w:rPr>
        <w:t>тельности фондового и усовершенствовать систему учета прав собственности на ценные бумаги, предусматривающих отмену положений и нормативных документов, которые допускают существование на верхнем уровне депозитарной системы неограниченного количества депозитариев.</w:t>
      </w:r>
      <w:r>
        <w:rPr>
          <w:rFonts w:ascii="Times New Roman CYR" w:hAnsi="Times New Roman CYR" w:cs="Times New Roman CYR"/>
          <w:sz w:val="28"/>
          <w:szCs w:val="28"/>
          <w:lang w:val="uk-UA"/>
        </w:rPr>
        <w:t xml:space="preserve"> Такая биржа</w:t>
      </w:r>
      <w:r>
        <w:rPr>
          <w:rFonts w:ascii="Times New Roman CYR" w:hAnsi="Times New Roman CYR" w:cs="Times New Roman CYR"/>
          <w:sz w:val="28"/>
          <w:szCs w:val="28"/>
        </w:rPr>
        <w:t xml:space="preserve"> долж</w:t>
      </w:r>
      <w:r>
        <w:rPr>
          <w:rFonts w:ascii="Times New Roman CYR" w:hAnsi="Times New Roman CYR" w:cs="Times New Roman CYR"/>
          <w:sz w:val="28"/>
          <w:szCs w:val="28"/>
          <w:lang w:val="uk-UA"/>
        </w:rPr>
        <w:t>на</w:t>
      </w:r>
      <w:r>
        <w:rPr>
          <w:rFonts w:ascii="Times New Roman CYR" w:hAnsi="Times New Roman CYR" w:cs="Times New Roman CYR"/>
          <w:sz w:val="28"/>
          <w:szCs w:val="28"/>
        </w:rPr>
        <w:t xml:space="preserve"> иметь форму непредпринимательской структуры. Это будет способствовать созданию единого информационного пространства, котор</w:t>
      </w:r>
      <w:r>
        <w:rPr>
          <w:rFonts w:ascii="Times New Roman CYR" w:hAnsi="Times New Roman CYR" w:cs="Times New Roman CYR"/>
          <w:sz w:val="28"/>
          <w:szCs w:val="28"/>
          <w:lang w:val="uk-UA"/>
        </w:rPr>
        <w:t>ое</w:t>
      </w:r>
      <w:r>
        <w:rPr>
          <w:rFonts w:ascii="Times New Roman CYR" w:hAnsi="Times New Roman CYR" w:cs="Times New Roman CYR"/>
          <w:sz w:val="28"/>
          <w:szCs w:val="28"/>
        </w:rPr>
        <w:t xml:space="preserve"> будет охватывать все сделки </w:t>
      </w:r>
      <w:r>
        <w:rPr>
          <w:rFonts w:ascii="Times New Roman CYR" w:hAnsi="Times New Roman CYR" w:cs="Times New Roman CYR"/>
          <w:sz w:val="28"/>
          <w:szCs w:val="28"/>
        </w:rPr>
        <w:lastRenderedPageBreak/>
        <w:t>купли-продажи ценных бумаг. Ведь мировой опыт показывает, что важнейшим направлением обеспечения высокого уровня капитализации фондовых бирж является налаживание деятельности депозитарной системы.</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Следует повысить прозрачность операций на фондовой бирже и усовершенствовать деятельности ее торговых площадок с целью определения рыночной стоимости ценных бумаг отечественных эмитентов. Для реализации данной задачи необходимо, кроме создания Центрального депозитария, принять меры для сокращения объема операций на нерегулируемом рынке, сократить время оплаты операций с ценными бумагами, создать полную информационную базу из основных индикаторов фондового рынка. А так же ввести общенациональную систему мониторинга и единую методологию расчета капитализации фондовой биржи.</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Одним из перспективных направлений развития деятельности фондовых бирж в Украине является внедрение механизмов интернет-трейдинга, который позволит привлекать к биржевой торговле частных инвесторов. Данные механизмы активно используются во всем мире и на практике доказывают свою эффективность.</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Интернет-трейдинг - это система работы с ценными бумагами, которая позволяет инвестору самостоятельно получать доступ к биржевой информации, а также заключать сделки по купле-продаже ценных бумаг на бирже в режиме реального времени.</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Понятие "интернет-трейдинг" означает осуществление операций купли - продажи ценных бумаг на фондовой бирже с помощью специальной сертифицированной программы, установленной на собственном компьютере [1]. В Украине уже используется несколько сертифицированных приложений для доступа на фондовые биржи, такие как QUIK, WEB2L, SmartTrade.</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Этот сегмент бизнеса появился в Украине в основном благодаря рынку </w:t>
      </w:r>
      <w:r>
        <w:rPr>
          <w:rFonts w:ascii="Times New Roman CYR" w:hAnsi="Times New Roman CYR" w:cs="Times New Roman CYR"/>
          <w:sz w:val="28"/>
          <w:szCs w:val="28"/>
        </w:rPr>
        <w:lastRenderedPageBreak/>
        <w:t>заявок, который был создан Украинской биржей 26 марта 2009 году. Данный продукт стремительно развивается за счет увеличения количества привлеченных клиентов [2].</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Интернет-трейдинг предоставляет прямой доступ инвестора к биржевым торгам, повышение оперативности и активности работы на рынке ценных бумаг, снижение риска несовершения расчетов по сделкам, простота и прозрачность торговли. Во время интернет-трейдинга происходит мгновенное поступление заявок инвесторов на бирже. При этом инвесторы могут следить за текущими котировками и другой биржевой информацией в режиме реального времени, а также осуществлять контроль за торговлей и денежными средствами.</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Объем сделок с участием частных инвесторов, которые осуществляются в рамках интернет-трейдинга в 2011 году, вырос на 70%, а количество сделок - на 91%, что свидетельствует о росте интереса к данной услуге. Сегодня через механизмы интернет-трейдинга на «Украинской бирже» заключается треть сделок. Количество пользователей этой услуги составляет 4,7 тыс., за 2012 - 2013 годы «Украинская Биржа» прогнозирует увеличение пользователей до 50 тыс. [2]. Большое значение для развития этого вида услуг в Украине имеют образовательные программы, проведение семинаров, лекториев.</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Значительной составляющей развития интернет-трейдинга в Украине "Учебные торги". Этот инструмент позволяет потенциальным и существующим пользователям услуг интернет-трейдинга подготовиться к работе на рынке заявок, не рискуя при этом реальными денежными средствами. Сегодня в Украине «Учебные торги» предоставляются 18-ю он-лайн брокерами.</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Сегодня в Украине существует 25 он-лайн брокеров, которые имеют возможность подключать в интернет-трейдинг на фондовой бирже [3].</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Перспективными сторонами интернет-трейдинга является низкий уровень затрат, высокая тарифная конкурентоспособность, доступность, высокая </w:t>
      </w:r>
      <w:r>
        <w:rPr>
          <w:rFonts w:ascii="Times New Roman CYR" w:hAnsi="Times New Roman CYR" w:cs="Times New Roman CYR"/>
          <w:sz w:val="28"/>
          <w:szCs w:val="28"/>
        </w:rPr>
        <w:lastRenderedPageBreak/>
        <w:t>скорость проведения операций. Недостатки - институциональные риски, а также относительно слабая защищенность от технических сбоев и атак хакеров</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Уже сейчас украинский инвестор может купить ценные бумаги, выпущенные за пределами Украины, тем самым стимулировать фондовый рынок привлечением иностранного капитала и комиссионных от их продажи.</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шанса получить "быстрый" доход, интернет-трейдинг предоставил инвесторам возможность зарабатывать не только на растущем, но и на падающем рынке. Сейчас почти все онлайн-инвесторы имеют возможность зарабатывать с помощью "коротких продаж".</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Уже сегодня для исследования украинских компаний в сети интернет находится огромное количество бесплатной аналитической информации. Заинтересованность в комиссионных брокерам заметно снизилась за счет автоматизации процесса, появляются автоматические торговые системы. "Интернет-трейдинг" уже дал толчок для развития в Украине этого сектора бизнеса, как информационное и программное "обеспечение фондового рынка". В Украине этот рынок неразвит и требует инноваций и наработок со стороны иностранных компаний. В настоящее время в Украине начали развиваться интернет-порталы, которые предоставляют все больше информации по фондовому рынку. Со временем интернет-порталов также больше, а их аналитическая информация по рынку ценных бумаг будет становиться все более качественной и доступной, что приведет к значительным привлечений владельцев капитала в обращение на фондовом рынке, с целью инвестирования.</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Хотя торговля ценными бумагами через Интернет в Украине сегодня находится на начальном этапе своего развития, в России - более 10 лет, перспективы этого направления нельзя недооценивать. Более того, несмотря на все проблемы, которые сегодня присущи становлению финансовых интернет-технологий (недостаточность правовой базы, необходимость усиления </w:t>
      </w:r>
      <w:r>
        <w:rPr>
          <w:rFonts w:ascii="Times New Roman CYR" w:hAnsi="Times New Roman CYR" w:cs="Times New Roman CYR"/>
          <w:sz w:val="28"/>
          <w:szCs w:val="28"/>
        </w:rPr>
        <w:lastRenderedPageBreak/>
        <w:t>защиты информационных потоков, повышения качества каналов связи и т.п.), можно констатировать существование и динамичное развитие Интернет-индустрии на рынке ценных бумаг.</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по результатам проведенного анализа деятельности фондовых бирж Украины, можно предложить следующие пути их решения</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внедрение в практику функционирования фондовых бирж электронного документооборота, что будет способствовать уменьшению рисков взаимодействия участников биржи и повышению его ликвидности;</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обеспечение унификации расчетов по принципу «поставка ценных бумаг против оплаты», с целью уменьшения времени оплаты операций с ценными бумагами;</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внедрение новых торговых систем и платформ, развитие технологии Интрернет-трейдинга;</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укрупнения и взаимная интеграция фондовых бирж, что обеспечит стандартные критерии листинга и формирование справедливых рыночных цен любых финансовых инструментов;</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разработка общегосударственной долгосрочной стратегии развития фондовых бирж с учетом особенностей национальной экономики и особенностей развития мирового фондового рынка;</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обеспечение поэтапного создания единого центрального депозитария Украины и усовершенствования системы учета прав собственности на ценные бумаги;</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содействие повышению прозрачности операций на фондовой бирже и совершенствования деятельности ее торговых площадок с целью определения стоимости ценных бумаг отечественных эмитентов (создать полную информационную базу основных индикаторов фондового рынка, способствовать консолидации действующих бирж и организаторов торговли);</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внедрение общенациональной системы мониторинга и единой методологии расчета капитализации фондовой биржи;</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установление государственным регулятором единых для всех бирж правил расчета биржевого курса.</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Можно утверждать, что проблема развития фондовых бирж в Украине особенно актуальна и ее решение нуждается в разработке государственной программы развития фондового рынка с учетом зарубежного опыта и национальных особенностей. Основой данной программы должно быть обеспечение информационной открытости, прозрачности и обеспеченности биржевой деятельности. Вместе с тем, нужно ввести мониторинг и контроль за реализацией данной программы. Налаженная деятельность фондовых бирж позволяет странам интегрироваться в международное рыночное пространство, решать вопросы относительно привлечения дополнительных ресурсов и стимулирует общенациональное развитие страны.</w:t>
      </w:r>
    </w:p>
    <w:p w:rsidR="00CA7AE8" w:rsidRDefault="00CA7AE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РАЗДЕЛ 4. Охрана труда</w:t>
      </w:r>
    </w:p>
    <w:p w:rsidR="00CA7AE8" w:rsidRDefault="00CA7AE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Организационная структура СУОТ</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Украине функционирует многоуровневая СУОТ, функциональными звеньями которой являются соответствующие структуры государственной законодательной и исполнительной власти разных уровней, управленческие структуры предприятий и организаций, трудовых коллективов.</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зависимости от направления решаемых задач все звенья СУОТ можно разделить на две группы:</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звенья, обеспечивающие решение законодательно-нормативных, научно-технических, социально-экономических и других общих вопросов охраны труда;</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звенья, в функциональные обязанности которых входит обеспечение безопасности труда в условиях конкретных организаций, предприятий.</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первой группе относятся органы государственной законодательной инициативы и органы государственного управления охраной труда:</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Верховная Рада Украины</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Кабинет Министров Украины;</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Государственная служба горного надзора и промышленной безопасности Украины (Госгорпромнадзор Украины);</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Министерства и другие центральные органы исполнительной власти;</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Фонд социального страхования от несчастных случаев и профзаболеваний;</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Местная государственная администрация, органы местного самоуправления.</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Верховная Рада Украины по своей инициативе во взаимодействии с соответствующими структурами исполнительной власти определяет государственную политику в сфере охраны труда, решает вопросы </w:t>
      </w:r>
      <w:r>
        <w:rPr>
          <w:rFonts w:ascii="Times New Roman CYR" w:hAnsi="Times New Roman CYR" w:cs="Times New Roman CYR"/>
          <w:sz w:val="28"/>
          <w:szCs w:val="28"/>
        </w:rPr>
        <w:lastRenderedPageBreak/>
        <w:t>совершенствования и развития законодательной базы охраны труда, социальные вопросы, связанные с состоянием условий и охраны труда.</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Кабинет Министров Украины обеспечивает реализацию государственной политики в сфере охраны труда, исходя из состояния охраны труда в государстве, организует разработку общегосударственных программ в соответствии с улучшения этого состояния, утверждает эти программы и контролирует их выполнение, определяет функции органов исполнительной власти по решению вопросов охраны труда и надзора за охраной труда.</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решения этих вопросов при Кабинете Министров Украины функционирует Национальный совет по вопросам безопасной жизнедеятельности населения, которую возглавляет вице-премьер-министр Украины.</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Госгорпромнадзор Украины осуществляет комплексное управление охраной труда на государственном уровне, реализует государственную политику в этой сфере, разрабатывает при участии соответствующих органов государственной программы в сфере охраны труда, координирует работу государственных органов и объединений предприятий по безопасности труда, разрабатывает и пересматривает совместно с компетентными органами систему показателей и учета условий и безопасности труда, осуществляет международное сотрудничество по вопросам охраны труда и надзор за охраной труда в государстве и тому подобное.</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Фонд социального страхования от несчастных случаев осуществляет профилактику несчастных случаев и профзаболеваний, а также координацию всей страховой деятельности, связанной с охраной труда.</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Министерство труда и социальной политики Украины осуществляет также государственную экспертизу условий труда, определяет порядок и осуществляет контроль за качеством проведения аттестации рабочих мест по их соответствию </w:t>
      </w:r>
      <w:r>
        <w:rPr>
          <w:rFonts w:ascii="Times New Roman CYR" w:hAnsi="Times New Roman CYR" w:cs="Times New Roman CYR"/>
          <w:sz w:val="28"/>
          <w:szCs w:val="28"/>
        </w:rPr>
        <w:lastRenderedPageBreak/>
        <w:t>нормативным актам об охране труда, участвует в разработке нормативных документов по охране труда.</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Другие министерства и центральные органы исполнительной власти как звенья системы управления охраной труда определяют научно-техническую политику отрасли по вопросам охраны труда, разрабатывают и реализуют комплексные меры по улучшению безопасности труда, осуществляют методическое руководство деятельностью предприятий отрасли по охране труда, сотрудничают с отраслевыми профсоюзами по решение вопросов безопасности труда, организуют в установленном порядке обучение и проверку знаний правил и норм охраны труда руководителями и специалистами отрасли, создают, в случае необходимости, профессиональные военизированные аварийно-спасательные формирования, осуществляющие внутренний контроль за состоянием охраны труда.</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Местные государственные администрации и органы местного самоуправления в пределах подведомственной им территории обеспечивают реализацию государственной политики в сфере охраны труда, формируют при участии профсоюзов местные программы мер по улучшению безопасности, гигиены труда и производственной среды, осуществляют контроль за соблюдением нормативных актов об охране труда. Для обеспечения выполнения указанных функций при местных органах исполнительной власти создаются соответствующие структурные подразделения.</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Управленческие структуры предприятий обеспечивают в условиях конкретных производств реализации требований законодательных и нормативных актов об охране труда с целью создания безопасных и безвредных условий труда, предупреждению производственного травматизма и профессиональных заболеваний, решают весь комплекс вопросов по охране труда, связанных с данным производством. В своей деятельности по охране </w:t>
      </w:r>
      <w:r>
        <w:rPr>
          <w:rFonts w:ascii="Times New Roman CYR" w:hAnsi="Times New Roman CYR" w:cs="Times New Roman CYR"/>
          <w:sz w:val="28"/>
          <w:szCs w:val="28"/>
        </w:rPr>
        <w:lastRenderedPageBreak/>
        <w:t>труда управленческие структуры предприятий взаимодействуют с комиссией по вопросам охраны труда предприятия (при наличии таковой), с профсоюзами предприятия и уполномоченными трудовых коллективов.</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СУОТ в условиях конкретной организации, на конкретном объекте всегда является многоуровневой системой управления, в которой верхним уровнем является государственное управление, а нижним - управление охраной труда на конкретном объекте. Как промежуточные уровни управления могут выступать ведомственное, региональное управление, а также управления в объединении, тресте подобное.</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Правовой основой СУОТ являются: Конституция Украины, Кодекс законов о труде Украины, Законы Украины «Об охране труда» и «Об общеобязательном государственном социальном страховании от несчастного случая на производстве и профессионального заболевания, повлекших утрату трудоспособности», приказы и распоряжения Президента Украины, распоряжения и постановления Кабинета Министров, Госгорпромнадзор, Министерства здравоохранения, Министерства труда и социальной политики, а также других директивных органов Украины по вопросам охраны труда (органы государственного управления охраной труда).</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нормативной базе СУОТ относятся:</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Государственные межотраслевые и отраслевые нормы и правила, а также ведомственные нормативные акты по охране труда, утвержденные Госгорпромнадзором;</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Система государственных межотраслевых и отраслевых стандартов безопасности труда;</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Строительные нормы и правила в части обеспечения требований охраны труда и пожарной безопасности;</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Приказы и распоряжения вышестоящей организации;</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Разделы «Требования безопасности (охраны) труда» в стандартах и технических условиях на продукцию;</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Требования безопасности труда в проектной, технической и организационно-технологической документации на строительство или реконструкцию объектов строительства.</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Перечень основных нормативных документов по охране труда приведен в Государственном реестре нормативно-правовых актов по охране труда.</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Организационная структура системы управления охраной труда в строительных организациях базируется на существующей структуре управления строительным производством. Она включает следующие основные элементы:</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объект управления;</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информацию о состоянии объекта управления;</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память системы;</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орган управления;</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управленческие воздействия (решения).</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Руководящие воздействия - это принятые решения, оформленные в виде приказов, распоряжений, указаний, планов и графиков, профилактических мероприятий, целевых программ, которые доводятся до сведения непосредственных исполнителей. Реализация решений обеспечивается необходимыми ресурсами и действенным контролем со стороны администрации и службы охраны труда.</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Память системы - это совокупность нормативной, инструктивной и проектно-технической документации планов организационно-технологических и профилактических мероприятий, информация о состоянии охраны труда в бригадах, на участках, объектах и в целом по организациям; материалов различных видов проверок и оперативного контроля; плановых и прогнозируемых показателей по охране труда информации о реализации </w:t>
      </w:r>
      <w:r>
        <w:rPr>
          <w:rFonts w:ascii="Times New Roman CYR" w:hAnsi="Times New Roman CYR" w:cs="Times New Roman CYR"/>
          <w:sz w:val="28"/>
          <w:szCs w:val="28"/>
        </w:rPr>
        <w:lastRenderedPageBreak/>
        <w:t>принятых ранее решений и их эффективности.</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Ежеквартально в организации высшего уровня направляется информация о состоянии охраны труда в организации.</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Структура СУОТ различных уровней управления в принципе одинакова, т.е. все основные элементы первого уровня присутствуют на других - более высоких уровнях. Таким образом, информация о состоянии охраны труда в подведомственных организациях становится объектом анализа и изучения и учитывается при принятии решений на следующем уровне управления.</w:t>
      </w:r>
    </w:p>
    <w:p w:rsidR="00CA7AE8" w:rsidRDefault="000543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Результаты функционирования СУОТ выражаются количественными показателями, характеризующими динамику уровня производственного травматизма, профзаболеваний, улучшению условий труда, а также коэффициентами безопасности труда -</w:t>
      </w:r>
      <w:r w:rsidR="004C0537">
        <w:rPr>
          <w:rFonts w:ascii="Microsoft Sans Serif" w:hAnsi="Microsoft Sans Serif" w:cs="Microsoft Sans Serif"/>
          <w:noProof/>
          <w:sz w:val="17"/>
          <w:szCs w:val="17"/>
        </w:rPr>
        <w:drawing>
          <wp:inline distT="0" distB="0" distL="0" distR="0">
            <wp:extent cx="281940" cy="228600"/>
            <wp:effectExtent l="0" t="0" r="381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1940" cy="228600"/>
                    </a:xfrm>
                    <a:prstGeom prst="rect">
                      <a:avLst/>
                    </a:prstGeom>
                    <a:noFill/>
                    <a:ln>
                      <a:noFill/>
                    </a:ln>
                  </pic:spPr>
                </pic:pic>
              </a:graphicData>
            </a:graphic>
          </wp:inline>
        </w:drawing>
      </w:r>
      <w:r>
        <w:rPr>
          <w:rFonts w:ascii="Times New Roman CYR" w:hAnsi="Times New Roman CYR" w:cs="Times New Roman CYR"/>
          <w:sz w:val="28"/>
          <w:szCs w:val="28"/>
        </w:rPr>
        <w:t>, Которые учитываются при подведении итогов производственной деятельности как одного из основных показателей.</w:t>
      </w:r>
    </w:p>
    <w:p w:rsidR="00CA7AE8" w:rsidRDefault="000543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Обеспечение безопасных условий труда - обязанность рабочих, служащих, должностных лиц организаций и предприятий, осуществляется в соответствии с их функциональным обязанностям.</w:t>
      </w:r>
    </w:p>
    <w:p w:rsidR="00CA7AE8" w:rsidRDefault="000543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Система управления охраной труда действует по принципу обратной связи, при этом управление - замкнутое, организационное.</w:t>
      </w:r>
    </w:p>
    <w:p w:rsidR="00CA7AE8" w:rsidRDefault="000543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Основные функции управления и пути их реализации</w:t>
      </w:r>
    </w:p>
    <w:p w:rsidR="00CA7AE8" w:rsidRDefault="000543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Управление охраной труда в строительных организациях обеспечивается выполнением комплекса таких взаимосвязанных функций:</w:t>
      </w:r>
    </w:p>
    <w:p w:rsidR="00CA7AE8" w:rsidRDefault="000543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Планирование работ, деятельности структурных и производственных подразделений, функциональных службе по обеспечению безопасности труда;</w:t>
      </w:r>
    </w:p>
    <w:p w:rsidR="00CA7AE8" w:rsidRDefault="000543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Организация выполнения плановых мероприятий и работ по обеспечению безопасности труда и функционирования СУОТ;</w:t>
      </w:r>
    </w:p>
    <w:p w:rsidR="00CA7AE8" w:rsidRDefault="000543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Контроль за состоянием охраны труда и функционированием СУОТ;</w:t>
      </w:r>
    </w:p>
    <w:p w:rsidR="00CA7AE8" w:rsidRDefault="000543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Учет, анализ, оценка состояния безопасности и охраны труда;</w:t>
      </w:r>
    </w:p>
    <w:p w:rsidR="00CA7AE8" w:rsidRDefault="000543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Координация деятельности по обеспечению безопасности и охраны труда;</w:t>
      </w:r>
    </w:p>
    <w:p w:rsidR="00CA7AE8" w:rsidRDefault="000543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Стимулирование за достигнутые результаты.</w:t>
      </w:r>
    </w:p>
    <w:p w:rsidR="00CA7AE8" w:rsidRDefault="000543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Планирование работ, деятельности подразделений и служб по охране труда проводится по следующим направлениям:</w:t>
      </w:r>
    </w:p>
    <w:p w:rsidR="00CA7AE8" w:rsidRDefault="000543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Планирование обеспечения безопасности работающих;</w:t>
      </w:r>
    </w:p>
    <w:p w:rsidR="00CA7AE8" w:rsidRDefault="000543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Планирование обеспечения безопасности производственных процессов;</w:t>
      </w:r>
    </w:p>
    <w:p w:rsidR="00CA7AE8" w:rsidRDefault="000543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Планирование обеспечения безопасности производственного оборудования;</w:t>
      </w:r>
    </w:p>
    <w:p w:rsidR="00CA7AE8" w:rsidRDefault="000543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Планирование доведения до нормативного уровня, дальнейшего улучшения санитарно-гигиенических условий труда, производственного быта и лечебно-профилактического обслуживания работающих.</w:t>
      </w:r>
    </w:p>
    <w:p w:rsidR="00CA7AE8" w:rsidRDefault="000543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Планирование мероприятий и работ по обеспечению безопасности труда осуществляется на основании текущих (годовых) и оперативных (ежеквартально-месячных) планов.</w:t>
      </w:r>
    </w:p>
    <w:p w:rsidR="00CA7AE8" w:rsidRDefault="000543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Текущее планирование осуществляется на основе анализа производственной программы организации, имеющихся ресурсов, результатов паспортизации и (или) аттестации фактического состояния условий труда, а также планов материально-технического и финансового обеспечения в период технической подготовки производства. Оно заключается в разработке вопросов охраны труда в конструкторской, технологической и организационной проектной документации.</w:t>
      </w:r>
    </w:p>
    <w:p w:rsidR="00CA7AE8" w:rsidRDefault="000543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Ежегодные планы осуществления комплексных мероприятий по организации безопасных и безвредных условий труда является приложением к коллективному соглашению.</w:t>
      </w:r>
    </w:p>
    <w:p w:rsidR="00CA7AE8" w:rsidRDefault="000543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Оперативное планирование осуществляется на основе текущего - годового планирования.</w:t>
      </w:r>
    </w:p>
    <w:p w:rsidR="00CA7AE8" w:rsidRDefault="000543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Оперативное планирование решения вопросов охраны труда заключается в определении методов и средств обеспечения безопасности и безвредности труда, источников и размеров финансирования, сроков их реализации. Оно осуществляется непосредственными руководителями работ, функциональных служб и структурных подразделений.</w:t>
      </w:r>
    </w:p>
    <w:p w:rsidR="00CA7AE8" w:rsidRDefault="000543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Планы работ структурных подразделений, главных специалистов и функциональных служб разрабатываются в соответствии с функциями по охране труда, которые возложены на них.</w:t>
      </w:r>
    </w:p>
    <w:p w:rsidR="00CA7AE8" w:rsidRDefault="000543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Организация выполнения плановых мероприятий и работ по обеспечению безопасности труда и функционирования СУОТ заключается в четкой регламентации обязанностей, порядка взаимодействия, деятельности в целом структурных подразделений, функциональных служб, главных специалистов и отдельных работников организаций и предприятий.</w:t>
      </w:r>
    </w:p>
    <w:p w:rsidR="00CA7AE8" w:rsidRDefault="000543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Организация выполнения работ проводится согласно функциональных обязанностей рабочих и служащих путем осуществления комплекса организационных и технических мероприятий, которые разрабатываются на основе результатов анализа проектной документации, информации о производственном травматизме, и выявлении в процессе оперативного и других видов контроля состояния охраны труда опасных ситуаций.</w:t>
      </w:r>
    </w:p>
    <w:p w:rsidR="00CA7AE8" w:rsidRDefault="000543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Обучение работающих безопасным методам труда должно проходить с учетом результатов анализа производственного травматизма и согласно «Типовым положением о порядке проведения обучения по проверке знаний по </w:t>
      </w:r>
      <w:r>
        <w:rPr>
          <w:rFonts w:ascii="Times New Roman CYR" w:hAnsi="Times New Roman CYR" w:cs="Times New Roman CYR"/>
          <w:sz w:val="28"/>
          <w:szCs w:val="28"/>
        </w:rPr>
        <w:lastRenderedPageBreak/>
        <w:t>вопросам охраны труда». Профессиональный отбор проводится при приеме на работу по отдельным специальностям, к которым предъявляются повышенные требования по психофизической пригодности, обусловленные условиями труда. Перечень работ, где необходим профессиональный отбор, определенный НПАОП.</w:t>
      </w:r>
    </w:p>
    <w:p w:rsidR="00CA7AE8" w:rsidRDefault="000543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Обеспечение безопасности производственных процессов достигается разработкой и применением безопасных технологий, оснащение и коллективных средств защиты, учитывая действующие требования норм и правил охраны труда, стандартов безопасности труда приведения в соответствие с ними технологических процессов, используемых на предприятии. При этом должны ликвидироваться причины возникновения опасных и вредных производственных факторов, а технологическая последовательность производственных операций должна быть такой, чтобы предыдущая операция не была источником производственной опасности при выполнении последующих. Если опасность воздействия опасных и (или) вредных факторов ликвидировать нельзя, то следует предусмотреть эффективные средства коллективной и (или) индивидуальной защиты, а также применить систему льгот и компенсаций за работу в опасных (вредных) условиях.</w:t>
      </w:r>
    </w:p>
    <w:p w:rsidR="00CA7AE8" w:rsidRDefault="000543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Обеспечение работающих СИЗ должно осуществляться в соответствии с Законом, действующим нормам и установленным порядком выдачи, чистки, сушки, ремонта, хранения и использования.</w:t>
      </w:r>
    </w:p>
    <w:p w:rsidR="00CA7AE8" w:rsidRDefault="000543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Безопасность строительных машин, механизмов, производственного оборудования достигается путем приведения их в соответствие с действующими нормами и правилами; при невозможности этого - заменой новыми безопасными машинами, а также обеспечением их безопасной эксплуатации.</w:t>
      </w:r>
    </w:p>
    <w:p w:rsidR="00CA7AE8" w:rsidRDefault="000543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Обеспечение безопасности зданий и сооружений, находящихся в эксплуатации и ремонте, достигается путем соблюдения соответствующих требований, правил и норм охраны труда.</w:t>
      </w:r>
    </w:p>
    <w:p w:rsidR="00CA7AE8" w:rsidRDefault="000543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Обеспечение оптимальных режимов труда и отдыха должно предусматриваться для всех категорий работающих и учитывать специфику их труда (тяжелая, напряженная, монотонная, возможно влияние опасных и вредных производственных факторов). Льготные режимы труда и отдыха устанавливаются в соответствии с трудовым законодательством, решениями, нормативными актами и рекомендациями Министерства труда и социальной политики, Министерства здравоохранения и Госгорпромнадзора Украины.</w:t>
      </w:r>
    </w:p>
    <w:p w:rsidR="00CA7AE8" w:rsidRDefault="000543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Организация рациональных режимов труда и отдыха работающих осуществляется в соответствии с действующим законодательством.</w:t>
      </w:r>
    </w:p>
    <w:p w:rsidR="00CA7AE8" w:rsidRDefault="000543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Организация лечебно-профилактического обслуживания работающих должна предусматривать предварительные и периодические медицинские осмотры работающих и проведение лечебно-профилактических мероприятий по </w:t>
      </w:r>
      <w:r>
        <w:rPr>
          <w:rFonts w:ascii="Times New Roman CYR" w:hAnsi="Times New Roman CYR" w:cs="Times New Roman CYR"/>
          <w:sz w:val="28"/>
          <w:szCs w:val="28"/>
        </w:rPr>
        <w:lastRenderedPageBreak/>
        <w:t>профилактике профессиональных и общих заболеваний.</w:t>
      </w:r>
    </w:p>
    <w:p w:rsidR="00CA7AE8" w:rsidRDefault="000543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Организация и проведение предварительных и периодических медицинских осмотров работающих проводится согласно «Положению о медицинском осмотре работников определенных категорий», утвержденного Министерством здравоохранения Украины.</w:t>
      </w:r>
    </w:p>
    <w:p w:rsidR="00CA7AE8" w:rsidRDefault="000543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Лечебно-профилактическое питание работающих в случаях, определенных «Перечнем производств, профессий и должностей, работа в которых дает право на бесплатное получение лечебно-профилактического питания в связи с особо вредными условиями труда», «Правилами бесплатной выдачи молока или других равноценных продуктов рабочим и служащим, занятым в производстве, цехах и в других подразделениях с вредными условиями труда ».</w:t>
      </w:r>
    </w:p>
    <w:p w:rsidR="00CA7AE8" w:rsidRDefault="000543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Укрепление трудовой, производственной и технологической дисциплины достигается проведением мероприятий по регламентации и повышения ответственности работающих за выполнение должностных обязанностей.</w:t>
      </w:r>
    </w:p>
    <w:p w:rsidR="00CA7AE8" w:rsidRDefault="000543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Одновременно анализируются возможности организации - ее мощность, наличие машин, механизмов, оборудования, смазочных средств и оборудования, средств коллективной и индивидуальной защиты и т.п..</w:t>
      </w:r>
    </w:p>
    <w:p w:rsidR="00CA7AE8" w:rsidRDefault="000543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Управление безопасностью труда заключается:</w:t>
      </w:r>
    </w:p>
    <w:p w:rsidR="00CA7AE8" w:rsidRDefault="000543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оперативном выявлении нарушений правил и норм на конкретных рабочих местах, определении причин возникновения опасных и проблемных ситуаций;</w:t>
      </w:r>
    </w:p>
    <w:p w:rsidR="00CA7AE8" w:rsidRDefault="000543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определении потребности в необходимых ресурсах и источников его покрытия;</w:t>
      </w:r>
    </w:p>
    <w:p w:rsidR="00CA7AE8" w:rsidRDefault="000543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оперативном принятии управленческих решений по профилактике опасных ситуаций на конкретном рабочем месте;</w:t>
      </w:r>
    </w:p>
    <w:p w:rsidR="00CA7AE8" w:rsidRDefault="000543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организации и обеспечении выполнения принятого решения.</w:t>
      </w:r>
    </w:p>
    <w:p w:rsidR="00CA7AE8" w:rsidRDefault="000543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Контролируются: состояние и процессы эксплуатации применяемых машин, механизмов, производственного оборудования, безопасность выполнения технологических процессов, правильность использования средств индивидуальной и коллективной защиты, состояние санитарно-гигиенических и производственных условий как отдельных рабочих мест, так и в целом на объектах, их соответствие решением, принятым в организационно-технологической документации, состояние санитарно бытового обслуживания работающих, состояние зданий и сооружений, эксплуатируемых соблюдение администрацией действующего законодательства, норм и правил охраны труда.</w:t>
      </w:r>
    </w:p>
    <w:p w:rsidR="00CA7AE8" w:rsidRDefault="004C053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0480" cy="3048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480" cy="3048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30480" cy="3048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480" cy="30480"/>
                    </a:xfrm>
                    <a:prstGeom prst="rect">
                      <a:avLst/>
                    </a:prstGeom>
                    <a:noFill/>
                    <a:ln>
                      <a:noFill/>
                    </a:ln>
                  </pic:spPr>
                </pic:pic>
              </a:graphicData>
            </a:graphic>
          </wp:inline>
        </w:drawing>
      </w:r>
      <w:r w:rsidR="00054328">
        <w:rPr>
          <w:rFonts w:ascii="Times New Roman CYR" w:hAnsi="Times New Roman CYR" w:cs="Times New Roman CYR"/>
          <w:sz w:val="28"/>
          <w:szCs w:val="28"/>
        </w:rPr>
        <w:t>Основными видами контроля являются:</w:t>
      </w:r>
    </w:p>
    <w:p w:rsidR="00CA7AE8" w:rsidRDefault="000543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Оперативный административно-общественный (пятиступенчатый) контроль;</w:t>
      </w:r>
    </w:p>
    <w:p w:rsidR="00CA7AE8" w:rsidRDefault="000543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Контроль должностных лиц;</w:t>
      </w:r>
    </w:p>
    <w:p w:rsidR="00CA7AE8" w:rsidRDefault="000543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Контроль, осуществляемый службой охраны труда;</w:t>
      </w:r>
    </w:p>
    <w:p w:rsidR="00CA7AE8" w:rsidRDefault="000543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Ведомственный контроль организаций высшего уровня;</w:t>
      </w:r>
    </w:p>
    <w:p w:rsidR="00CA7AE8" w:rsidRDefault="000543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Государственный контроль, который осуществляется органами надзора;</w:t>
      </w:r>
    </w:p>
    <w:p w:rsidR="00CA7AE8" w:rsidRDefault="000543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Общественный контроль.</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Оперативный административно-общественный контроль проводится систематически за пятиступенчатой схеме в соответствии с «Положением о проведении оперативного контроля», которое разрабатывается в каждой организационной структуре.</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Контроль должностных лиц заключается в проверке выполнения подчиненными службами, должностными лицами своих функциональных обязанностей, а также принятых решений, приказов и распоряжений организаций высшего уровня, постановлений директивных органов, предписаний органов государственного надзора.</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Контроль, который осуществляет служба охраны труда, производится в соответствии с «Типовым положением о службе охраны труда», а также функциональных обязанностей, которые разрабатываются для всех категорий работающих - от рабочего до первого руководителя.</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Ведомственный контроль организаций высшего уровня осуществляется службой охраны труда согласно утвержденным в установленном порядке «Положение о службе охраны труда организации», а также функциональными службами в части, определенной соответствующими положениями по управлению охраной труда (СУОТ).</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Государственный надзор за соблюдением законов и других нормативно-правовых актов об охране труда осуществляют согласно ст. 38 Закона.</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Общественный контроль за соблюдением законодательства об охране труда осуществляют:</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Трудовые коллективы - через избранных ими уполномоченных, которые </w:t>
      </w:r>
      <w:r>
        <w:rPr>
          <w:rFonts w:ascii="Times New Roman CYR" w:hAnsi="Times New Roman CYR" w:cs="Times New Roman CYR"/>
          <w:sz w:val="28"/>
          <w:szCs w:val="28"/>
        </w:rPr>
        <w:lastRenderedPageBreak/>
        <w:t>действуют на основании «Типового положения о работе уполномоченных трудовых коллективов по вопросам охраны труда»;</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Профессиональные союзы - в лице своих выборных органов и представителей, которые действуют на основании «Типового положения о представителях профсоюзов по вопросам охраны труда», «Типового положения о комиссии по вопросам охраны труда предприятия».</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Контроль за состоянием условий и охраны труда должен предусматривать метрологическое обеспечение, включая методы и средства измерения параметров условий труда, безопасности производственного оборудования, машин и механизмов, технологических процессов, качества средств защиты работающих.</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Высший надзор за соблюдением и правильным применением законов об охране труда осуществляется Генеральным прокурором Украины и подчиненными ему прокурорами.</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Учета и анализу подвергаются материалы расследования несчастных случаев, профессиональных заболеваний, результаты оперативного и других видов контроля состояния безопасности труда, а также данные санитарно-технических паспортов, материалов специальных расследований и аттестации рабочих мест, машин, механизмов, производственного оборудования на соответствие требованиям норм и правил охраны труда.</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Учет несчастных случаев, профессиональных заболеваний и аварий на предприятиях, в учреждениях и организациях ведется согласно «Порядку расследования и ведения учета несчастных случаев, профессиональных заболеваний и аварий на производстве».</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Анализ состояния охраны труда должен проводиться в организациях и на предприятиях ежемесячно. При этом учитывается и выполнение мероприятий различных видов планов по охране труда, управленческих решений </w:t>
      </w:r>
      <w:r>
        <w:rPr>
          <w:rFonts w:ascii="Times New Roman CYR" w:hAnsi="Times New Roman CYR" w:cs="Times New Roman CYR"/>
          <w:sz w:val="28"/>
          <w:szCs w:val="28"/>
        </w:rPr>
        <w:lastRenderedPageBreak/>
        <w:t>администрации (приказов, распоряжений и т.п.), предписаний контролирующих органов, предложения комиссии по вопросам охраны труда предприятия (организации).</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изучении обстоятельств и причин возникновения опасных ситуаций, несчастных случаев в организациях используются в основном статистический, монографический и топографический методы анализа травматизма.</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Оценка состояния безопасности и охраны труда осуществляется на основе анализа комплекса информационных данных о фактическом состоянии условий труда на объектах (материалов расследования случаев травмирования и профзаболеваний; материалов плановых и внеочередных проверок; результатов анализа предписаний органов надзора и контроля), а также результатов деятельности отдельных работников, должностных лиц, функциональных служб и структурных подразделений по обеспечению безопасных условий труда.</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Оценивают:</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состояние безопасности (охраны) труда в производственных подразделениях;</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деятельность функциональных служб, структурных подразделений; должностных лиц, в обязанности которых входит создание безопасных и безвредных условий труда.</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Количественная оценка состояния охраны труда производится с помощью коэффициентов уровня безопасности (или охраны) труда.</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Координация работ по обеспечению безопасности труда заключается в разработке и осуществлении органом управления решений, направленных на согласование деятельности подразделений, функциональных служб и их руководителей, на практическую реализацию принятых решений, оперативную ликвидацию или локализацию источников опасности и причин их возникновения. При этом четко регламентируются задачи, стоящие перед </w:t>
      </w:r>
      <w:r>
        <w:rPr>
          <w:rFonts w:ascii="Times New Roman CYR" w:hAnsi="Times New Roman CYR" w:cs="Times New Roman CYR"/>
          <w:sz w:val="28"/>
          <w:szCs w:val="28"/>
        </w:rPr>
        <w:lastRenderedPageBreak/>
        <w:t>управлением охраной труда на соответствующем уровне управления производством, определяются основные ответственные лица (структурные подразделения, функциональные службы), а затем - исполнители отдельных поручений в соответствии с решениями указанных выше задач.</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Стимулирование деятельности рабочих и служащих организаций (предприятий), их структурных подразделений и функциональных служб направлено на повышение ответственности и заинтересованности всех категорий работающих в создании и поддержании здоровых и безопасных условий труда.</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Следует отметить, что стимулирование может быть как положительным - в виде поощрений, так и отрицательным - штрафы, возмещение вреда, убытков конкретным гражданам, предприятиям, государству.</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виды положительных поощрений определяются коллективным договором (соглашением, трудовым договором), то возмещение вреда определяется в соответствии с действующим законодательством. Практика применения указанных видов стимулирования показала, что эффективность позитивного стимулирования примерно в три-четыре раза выше отрицательного.</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Одним из факторов, определяющих благоприятные условия труда, является рациональное освещение рабочей зоны и рабочих мест. При правильно рассчитанном и подобранном освещении производственных помещений глаза работающего в течение длительного времени сохраняют способность хорошо различать предметы и орудия труда. Такие условия способствуют снижению производственного травматизма и профессионального заболевания глаз.</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Естественное освещение имеет большое гигиеническое значение, что проявляется в значительном тонизирующем воздействии на организм человека в результате того, что организм человека миллионы лет приспосабливался к такому освещению. Длительное отсутствие естественного (солнечного) света угнетающе действует на психику человека.</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 помещении ООО «СКАН-БУД 2008» недостаточно естественного освещения из-за неверной конструкции оконных рам. Хотя размер проемов в наружных стенах достаточный, и равен - 4,61 м2</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Улучшить условия труда можно заменив оконные рамы на новые металлопластиковые, верной конструкции.</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Рекомендуется заменить 3 окна, с целью обеспечения помещения снабжением природного освещения. Следует установить окна металлопластиковые размером 1,98 x2, 33м с использованием двухкамерного энергосберегающего стеклопакета толщиной от 31 до 36 мм, профиль EFplast Lider и фурнитура VORNE стоимостью 2204,64 грн. за единицу в количестве 3 единиц. Стоимость монтажа составляет 1425,60 грн. Общая сумма затрат на мероприятия с охраны труда составляет 8039,52 грн.</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rPr>
        <w:t>Таким образом, внедрение следующих мероприятий поможет повысить производительность труда на 6-13%.</w:t>
      </w:r>
    </w:p>
    <w:p w:rsidR="00CA7AE8" w:rsidRDefault="00054328">
      <w:pPr>
        <w:widowControl w:val="0"/>
        <w:shd w:val="clear" w:color="000000" w:fill="auto"/>
        <w:tabs>
          <w:tab w:val="right" w:leader="dot" w:pos="9622"/>
        </w:tabs>
        <w:suppressAutoHyphens/>
        <w:autoSpaceDE w:val="0"/>
        <w:autoSpaceDN w:val="0"/>
        <w:adjustRightInd w:val="0"/>
        <w:spacing w:after="0" w:line="360" w:lineRule="auto"/>
        <w:ind w:firstLine="709"/>
        <w:jc w:val="both"/>
        <w:rPr>
          <w:rFonts w:ascii="Times New Roman CYR" w:hAnsi="Times New Roman CYR" w:cs="Times New Roman CYR"/>
          <w:noProof/>
          <w:sz w:val="28"/>
          <w:szCs w:val="28"/>
          <w:lang w:val="uk-UA"/>
        </w:rPr>
      </w:pPr>
      <w:r>
        <w:rPr>
          <w:rFonts w:ascii="Times New Roman CYR" w:hAnsi="Times New Roman CYR" w:cs="Times New Roman CYR"/>
          <w:noProof/>
          <w:sz w:val="28"/>
          <w:szCs w:val="28"/>
          <w:lang w:val="uk-UA"/>
        </w:rPr>
        <w:br w:type="page"/>
      </w:r>
      <w:r>
        <w:rPr>
          <w:rFonts w:ascii="Times New Roman CYR" w:hAnsi="Times New Roman CYR" w:cs="Times New Roman CYR"/>
          <w:noProof/>
          <w:sz w:val="28"/>
          <w:szCs w:val="28"/>
          <w:lang w:val="uk-UA"/>
        </w:rPr>
        <w:lastRenderedPageBreak/>
        <w:t>ВЫВОД</w:t>
      </w:r>
    </w:p>
    <w:p w:rsidR="00CA7AE8" w:rsidRDefault="00CA7AE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ходе дипломной работы раскрыто понятие «биржа». Таким образом, фондовая биржа- это регулярно функционирующий рынок, на котором осуществляются сделки по ценным бумагам. Ключевое место в торговой системе и в инфраструктуре финансового рынка занимают биржи. Как изначальные регуляторы рынков ценных бумаг, классические фондовые биржи исторически являются предшественниками органов государственного регулирования на рынках капитала.</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Фондовая биржа выступает одним из регуляторов финансового рынка. Основная роль биржи заключается в обслуживании движения денежных капиталов, позволяет обеспечить концентрацию спроса и предложения ценных бумаг, их сбалансированность на основе биржевого ценообразования, реально отражающего уровень эффективности функционирования акционерного капитала.</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Особое внимание уделено задачам и функциям фондовой биржи, а именно - созданию постоянно действующего рынка ценных бумаг определению реальной стоимости ценных бумаг, запущенных в оборот; распространению информации о финансовых инструментах, их цену и условия обращения; наращиванию профессионализма торговых и финансовых посредников; рассмотрению правил торговли; финансово-правовой оценке состояния фондовой биржи и ее сегментов.</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Изучив процесс становления и развития фондовых бирж в Украине, стоит отметить что в 1991 году был сделан первый шаг на пути становления фондовых бирж. В этом году была создана Украинская фондовая биржа, родоначальником которой считается Киевская биржа.</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Первая Украинская фондовая площадка появилась в феврале 1996 года, ею </w:t>
      </w:r>
      <w:r>
        <w:rPr>
          <w:rFonts w:ascii="Times New Roman CYR" w:hAnsi="Times New Roman CYR" w:cs="Times New Roman CYR"/>
          <w:sz w:val="28"/>
          <w:szCs w:val="28"/>
        </w:rPr>
        <w:lastRenderedPageBreak/>
        <w:t>стала фондовая биржа ПФТС. Но нормально функционировать ПФТС смогла только с начала 2000-х годов, когда сформировался индекс ПФТС, который на сегодняшний день включает в себя 20 эмитентов (предприятий) из разных отраслей экономики Украины и торгуется в реальном времени. Индекс ПФТС на сегодняшний день является главным индикатором состояния украинского рынка акций, на этой площадке также проходят торги корпоративными, муниципальными, государственными облигациями и инвестиционными сертификатами.</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2008 года у ПФТС появился конкурент - ОАО «Украинская биржа», которая рассчитывает свой собственный индекс UX, в него входят идентичные ПФТС предприятия. Объемы торгов на обеих площадках сопоставимы и они ведут конкурентную борьбу между собой.</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noProof/>
          <w:sz w:val="28"/>
          <w:szCs w:val="28"/>
        </w:rPr>
        <w:t xml:space="preserve">По состоянию на 2011 год действуют такие фондовые биржи: </w:t>
      </w:r>
      <w:r>
        <w:rPr>
          <w:rFonts w:ascii="Times New Roman CYR" w:hAnsi="Times New Roman CYR" w:cs="Times New Roman CYR"/>
          <w:sz w:val="28"/>
          <w:szCs w:val="28"/>
          <w:lang w:val="uk-UA"/>
        </w:rPr>
        <w:t>ПАО «Українська біржа», ПАО «Фондова біржа» ПФТС», ПАО «Фондова біржа «Перспектива», ЧАО "Українська міжбанківська валютна біржа", ЧАО «Українська фондова біржа», ПАО «Київська міжнародна фондова біржа», ЧАО «Фондова біржа «ІННЕКС», ЧАО «Придніпровська фондова біржа», ПАО «Східно-Європейська фондова біржа», ЧАО «Українська Міжнародна Фондова Біржа».</w:t>
      </w:r>
    </w:p>
    <w:p w:rsidR="00CA7AE8" w:rsidRDefault="00054328">
      <w:pPr>
        <w:widowControl w:val="0"/>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rPr>
        <w:t>Рассмотрена организационная структура фондовых бирж в Украине. Существует два основных вида рынков на фондовой бирже: рынок котировок и рынок заявок. Рынок заявок - это относительно новый рынок, который появился в Украине в конце марта 2009 года, именно благодаря появлению рынка заявок стала возможна услуга интернет-трейдинг, которая сделала доступной работу на фондовой бирже для многих украинцев.</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Так же в ходе работы выделены категории участников на фондовых биржах. Рассмотрены методы котировки ценных бумаг, описана процедура </w:t>
      </w:r>
      <w:r>
        <w:rPr>
          <w:rFonts w:ascii="Times New Roman CYR" w:hAnsi="Times New Roman CYR" w:cs="Times New Roman CYR"/>
          <w:sz w:val="28"/>
          <w:szCs w:val="28"/>
          <w:lang w:val="uk-UA"/>
        </w:rPr>
        <w:lastRenderedPageBreak/>
        <w:t>листинга, выделены особенности биржевой торговли в Украине.</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Проанализирована деятельность фондовых бирж в современной экономике. Так же более подробно исследована деятельность основных, наиболее прогрессивных бирж в Украине, таких как «Українська біржа», «Фондова біржа» ПФТС» и «Фондова біржа «Перспектива».</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uk-UA"/>
        </w:rPr>
        <w:t>Так, объем торговли финансовыми инструментами в 2011 году по сравнению с 2010 и 2009 годами вырос. Позитивным явлением является значительный рост торговли деривативами</w:t>
      </w:r>
      <w:r>
        <w:rPr>
          <w:rFonts w:ascii="Times New Roman CYR" w:hAnsi="Times New Roman CYR" w:cs="Times New Roman CYR"/>
          <w:sz w:val="28"/>
          <w:szCs w:val="28"/>
        </w:rPr>
        <w:t>, в 2011 году по сравнению с 2010 объем торговли данным финансовым инструментом вырос на 3,68 млрд. грн. Фактором данного явления стало, начало торгов в конце мая 2010 года в секции срочного рынка на «Украинской бирже».</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 проанализировав зарубежный опыт организации деятельности фондовых бирж, можно утверждать, что украинские биржи значительно уступают.</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Следует отметить, что в Украине сети фондовых бирж как системы не существует. Даже наличие 10 организаторов торговли приводит к децентрализации формирования спроса и предложения на ценные бумаги, провоцирует процесс манипулирования ценами на рынке, к установлению различных правил заключения и исполнения биржевых договоров. Сегодня на биржевом рынке ценных бумаг существует менее 5 моделей расчетов по договорам относительно ценных бумаг. Они связаны со спецификой технологий торговли финансовыми инструментами, которые применяются различными биржами, что приводит к необходимости учитывать депозитариями этой специфики при расчетно-клиринговом обслуживании торговой инфраструктуры [3, 190].</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Одним из факторов, сдерживающих организационно оформленного рынка, является его низкая технологичность. Имеются в виду не технологии заключения </w:t>
      </w:r>
      <w:r>
        <w:rPr>
          <w:rFonts w:ascii="Times New Roman CYR" w:hAnsi="Times New Roman CYR" w:cs="Times New Roman CYR"/>
          <w:sz w:val="28"/>
          <w:szCs w:val="28"/>
        </w:rPr>
        <w:lastRenderedPageBreak/>
        <w:t>биржевых договоров - на ПФТС и Украинской бирже сегодня введен в эксплуатацию торговые платформы «рынка заявок», которые в комплексе с новым для Украины сервисом интернет-трейдинга направленные на повышение ликвидности рынка ценных бумаг за счет вовлечения в процесс торговли широкого круга индивидуальных инвесторов. Речь идет о применении на всех уровнях взаимодействия инвесторов с участниками торгов, а также между участниками торгов и биржей электронного документооборота (ЭДО) [2, 48]. В Украине уже создано необходимое законодательное обеспечение его использования. Следовательно, введение в практику электронного должно быть обязательным на нормативном уровне, что будет способствовать уменьшению рисков взаимодействия участников рынка и повышению его ликвидности, тем более, что депозитарии, с которыми бирже взаимодействуют при организации расчетов по договорам, заключаемым на организационно оформленном рынке, используют электронный документооборот как обязательную форму обмена информацией. Вместе, технологическим направлением модернизации рынка должно стать создание программных продуктов для всех участников фондового рынка, развитие унифицированного и стандартизированного электронного между ними. Этот процесс предусматривает распространение ЭДО на коммуникации фондовой биржи депозитарных и расчетных учреждений.</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выше указанных проблем, на современном этапе развития биржевой торговли в Украине существуют еще и ряд других проблемных вопросов, а именно:</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отсутствие единой отлаженной модели деятельности фондовых бирж,</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отсутствие эффективной национальной депозитарной системы,</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ограниченность финансовых инструментов, используемых финансовыми посредниками и низкая степень использования производных ценных бумаг</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низкий уровень информированности населения о деятельности фондового </w:t>
      </w:r>
      <w:r>
        <w:rPr>
          <w:rFonts w:ascii="Times New Roman CYR" w:hAnsi="Times New Roman CYR" w:cs="Times New Roman CYR"/>
          <w:sz w:val="28"/>
          <w:szCs w:val="28"/>
        </w:rPr>
        <w:lastRenderedPageBreak/>
        <w:t>рынка, что приводит к низкой активности физических лиц на фондовой бирже, несмотря не то, что они являются одним из главных инвесторов в развитых странах,</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высокая степень теневой экономической деятельности и политического вмешательства.</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результаты проведенного анализа деятельности фондовых бирж Украины, свидетельствуют о росте объема операций с ценными бумагами на данном сегменте фондового рынка, также положительным явлением является рост объема торговли производными ценными бумагами на фондовых биржах Украины. Однако в деятельности фондовых бирж остается еще ряд нерешенных проблем описанных выше, которые требуют немедленного решения.</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модернизация биржевой торговли в Украине требует первоочередного значения. Данная модернизация должна быть направлена на создание в Украине полноценного регулируемого рынка финансовых инструментов, способного обеспечить ликвидность, прозрачность и эффективность рынка, минимальные системные риски при заключении и выполнении договоров относительно финансовых инструментов</w:t>
      </w: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Следовательно, можно утверждать, что проблема обеспечения высокого уровня развития фондовых бирж Украины является особенно актуальной. Ее решение требует разработки программы государственной поддержки биржевого рынка с учетом зарубежного опыта и национальных особенностей. Основой данной программы должно быть обеспечение информационной открытости, прозрачности и обеспеченности биржевой деятельности. Вместе с тем, нужно ввести мониторинг и контроль за реализацией данной программы. Налаженная деятельность фондовых бирж позволяет странам интегрироваться в международное рыночное пространство, решать вопросы относительно привлечения дополнительных ресурсов и стимулирует общенациональное </w:t>
      </w:r>
      <w:r>
        <w:rPr>
          <w:rFonts w:ascii="Times New Roman CYR" w:hAnsi="Times New Roman CYR" w:cs="Times New Roman CYR"/>
          <w:sz w:val="28"/>
          <w:szCs w:val="28"/>
        </w:rPr>
        <w:lastRenderedPageBreak/>
        <w:t>развитие страны.</w:t>
      </w:r>
    </w:p>
    <w:p w:rsidR="00CA7AE8" w:rsidRDefault="00CA7AE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CA7AE8" w:rsidRDefault="000543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СПИСОК ЛИТЕРАТУРЫ</w:t>
      </w:r>
    </w:p>
    <w:p w:rsidR="00CA7AE8" w:rsidRDefault="00CA7AE8">
      <w:pPr>
        <w:widowControl w:val="0"/>
        <w:shd w:val="clear" w:color="000000" w:fill="auto"/>
        <w:tabs>
          <w:tab w:val="left" w:pos="0"/>
          <w:tab w:val="left" w:pos="709"/>
          <w:tab w:val="left" w:pos="900"/>
          <w:tab w:val="left" w:pos="1080"/>
          <w:tab w:val="left" w:pos="9468"/>
        </w:tabs>
        <w:autoSpaceDE w:val="0"/>
        <w:autoSpaceDN w:val="0"/>
        <w:adjustRightInd w:val="0"/>
        <w:spacing w:after="0" w:line="360" w:lineRule="auto"/>
        <w:jc w:val="both"/>
        <w:rPr>
          <w:rFonts w:ascii="Times New Roman CYR" w:hAnsi="Times New Roman CYR" w:cs="Times New Roman CYR"/>
          <w:sz w:val="28"/>
          <w:szCs w:val="28"/>
        </w:rPr>
      </w:pPr>
    </w:p>
    <w:p w:rsidR="00CA7AE8" w:rsidRDefault="00054328">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Аналітичні дані щодо розвитку фондового ринку // Офіційний сайт Національної комісії з цінних паперів та фондового ринку - &lt;http://www.nssmc.gov.ua/fund/analytics&gt;</w:t>
      </w:r>
    </w:p>
    <w:p w:rsidR="00CA7AE8" w:rsidRDefault="00054328">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Апопій В. Інтернет - торгівля: проблеми і перспективи розвитку в Україні // Регіональна економіка. - 2003. -№ 1. - С. 25 - 32.</w:t>
      </w:r>
    </w:p>
    <w:p w:rsidR="00CA7AE8" w:rsidRDefault="00054328">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Безус Р.М. Роль фондової біржі у формуванні інвестиційного капіталу / Р.М. Безус // Інвестиції: практика та досвід. - 2008. - №21. - С. 4-8.</w:t>
      </w:r>
    </w:p>
    <w:p w:rsidR="00CA7AE8" w:rsidRDefault="00054328">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Бердникова Т.Б. Рынок ценных бумаг и биржевое дело. - М.: ИНФРА-М, 2000. - 270 с.</w:t>
      </w:r>
    </w:p>
    <w:p w:rsidR="00CA7AE8" w:rsidRDefault="00054328">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Берзон Н.И., Аршавский А.Ю., Буянова Е.А. Фондовые индексы // Фондовый рынок / Под ред. Н.И. Берзона. - 3-е изд. - М.: Вита, 2002. -559 с.</w:t>
      </w:r>
    </w:p>
    <w:p w:rsidR="00CA7AE8" w:rsidRDefault="00054328">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Биржевая деятельность / Под ред. А.Г.Грязновой, П.В. Корнеевой, В.А.Галанова.- М.: Финансы и статистика, 1995. - 239 с.</w:t>
      </w:r>
    </w:p>
    <w:p w:rsidR="00CA7AE8" w:rsidRDefault="00054328">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Биржевое дело / Под ред. В.А. Галанова, А.И. Басова. - М.: Финансы и статистика, 2001. - 304 с.</w:t>
      </w:r>
    </w:p>
    <w:p w:rsidR="00CA7AE8" w:rsidRDefault="00054328">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Білошапка В. Брокерське обслуговування Internet - Trading // Цінні папери України. - 2004. - № 24 (312). - С. 25.</w:t>
      </w:r>
    </w:p>
    <w:p w:rsidR="00CA7AE8" w:rsidRDefault="00054328">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Біржові товари. Тексти лекцій для студентів ВУЗів. Уклад. М.С.Беднарчук - ЮЗнання, 2005. - 130с</w:t>
      </w:r>
    </w:p>
    <w:p w:rsidR="00CA7AE8" w:rsidRDefault="00054328">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Бірюк С. Державне регулювання ринку цінних паперів України в посткризовий період / С. Бірюк. - Фінансовий ринок України. - 2009. - № 10 (72). - С. 14</w:t>
      </w:r>
    </w:p>
    <w:p w:rsidR="00CA7AE8" w:rsidRDefault="00054328">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Гладка О Світова федерація бірж: діяльність та перспективи розвитку // Цінні папери України.2007. - № 46. - С. 16.</w:t>
      </w:r>
    </w:p>
    <w:p w:rsidR="00CA7AE8" w:rsidRDefault="00054328">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Головков О. Лістинг цінних паперів в Україні: правове регулювання // Цінні папери України. -2003. - № 21. - С. 12</w:t>
      </w:r>
    </w:p>
    <w:p w:rsidR="00CA7AE8" w:rsidRDefault="00054328">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Губський В.В. Біржові технології ринку. - К.: Нора-принт, 1997. - 296с.</w:t>
      </w:r>
    </w:p>
    <w:p w:rsidR="00CA7AE8" w:rsidRDefault="00054328">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Давыдов А.И. Фондовый рынок. / уч.пос. -Харьков, ХНУ, 2002, 52с.</w:t>
      </w:r>
    </w:p>
    <w:p w:rsidR="00CA7AE8" w:rsidRDefault="00054328">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Дегтярёва О.И., Коршунов Н.М., Жуков Е.Ф. Рынок ценных бумаг и биржевое дело. - М.: ЮНИТИ, 2005.- 306с.</w:t>
      </w:r>
    </w:p>
    <w:p w:rsidR="00CA7AE8" w:rsidRDefault="00054328">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Дефосе Гастон Фондовая биржа и биржевые операции. - М.: Церих - ПЭЛ, 1995.- 107с.</w:t>
      </w:r>
    </w:p>
    <w:p w:rsidR="00CA7AE8" w:rsidRDefault="00054328">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Дж. Литтл, Л. Роудс. Как пройти на Уолл-стрит. Пер. с англ. - М.:ЗАО, 2003.-512с.</w:t>
      </w:r>
    </w:p>
    <w:p w:rsidR="00CA7AE8" w:rsidRDefault="00054328">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Добринина JI.H. Фондовый рынок и биржевая торговля. - М.: Экзамен, 2005. -288с.</w:t>
      </w:r>
    </w:p>
    <w:p w:rsidR="00CA7AE8" w:rsidRDefault="00054328">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Дудяк Р.П., Бугеля С.Я. Організація біржової діяльності: Основи теорії і </w:t>
      </w:r>
      <w:r>
        <w:rPr>
          <w:rFonts w:ascii="Times New Roman CYR" w:hAnsi="Times New Roman CYR" w:cs="Times New Roman CYR"/>
          <w:sz w:val="28"/>
          <w:szCs w:val="28"/>
        </w:rPr>
        <w:lastRenderedPageBreak/>
        <w:t>практикум. Навч. посібник 2-ге видання доповнене. - Львів: Новий Світ. - 2000: Магнолія плюс. - 2003. - 360 с.</w:t>
      </w:r>
    </w:p>
    <w:p w:rsidR="00CA7AE8" w:rsidRDefault="00054328">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Дудяк Р.П., Бугіль С.Я. Організація біржової діяльності. Навч. посіб. - К: Либідь, 2004. - 360с.</w:t>
      </w:r>
    </w:p>
    <w:p w:rsidR="00CA7AE8" w:rsidRDefault="00054328">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Еш С.М. Фінансовий ринок // Електронна книга - &lt;http://pidruchniki.ws/14131112/finansi/finansoviy_rinok_-_esh_sm&gt;</w:t>
      </w:r>
    </w:p>
    <w:p w:rsidR="00CA7AE8" w:rsidRDefault="00054328">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Жидецький В. Ц. Основи охорони праці: підручник / В. Ц. Жидецький, В. С. Джигирей, О. В. Мельников. - Вид. 5-те, допов. - Л. : Афіша, 2000. - 350с.</w:t>
      </w:r>
    </w:p>
    <w:p w:rsidR="00CA7AE8" w:rsidRDefault="00054328">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Закарян И.О. Практический интернет- трейдинг: Как работать на рынке акций, фьючерсов, опционов и Forex через Интернет. - М.: Интернет - трейдинг, 2004. - 370с.</w:t>
      </w:r>
    </w:p>
    <w:p w:rsidR="00CA7AE8" w:rsidRDefault="00054328">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Иванов Ю.А. Forex . учеб. пос. -СПБ.: Омега Л., 2005. -238с.</w:t>
      </w:r>
    </w:p>
    <w:p w:rsidR="00CA7AE8" w:rsidRDefault="00054328">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Индекс украинских акций (UX) // Официальный сайт фондовой биржи «Українська біржа» - &lt;http://ux.com.ua/ru/index/ux/&gt;</w:t>
      </w:r>
    </w:p>
    <w:p w:rsidR="00CA7AE8" w:rsidRDefault="00054328">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Індекси // Официальный сайт фондовой биржи ПФТС - &lt;http://www.pfts.com/uk/indexes/&gt;</w:t>
      </w:r>
    </w:p>
    <w:p w:rsidR="00CA7AE8" w:rsidRDefault="00054328">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Інтернет-трейдинг в Україні // Електронний журнал Економічна правда - http://www.epravda.com.Ua/markets/2011/02/9/270240</w:t>
      </w:r>
    </w:p>
    <w:p w:rsidR="00CA7AE8" w:rsidRDefault="00054328">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Калинець К.С. Особливості розвитку та динаміка функціонування фондових бірж в Україні / К.С. Калинець // Регіональна економіка. - 2008. - №3. - С. 189-196.</w:t>
      </w:r>
    </w:p>
    <w:p w:rsidR="00CA7AE8" w:rsidRDefault="00054328">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Калинець К.С. Теоретичні аспекти визначення ефективності функціонування фондової біржі України / К.С. Калинець // Економіка і регіон. - 2009. - №4. - С. 195-199.</w:t>
      </w:r>
    </w:p>
    <w:p w:rsidR="00CA7AE8" w:rsidRDefault="00054328">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Карпенко Д. О. Основи трудового права : навч. посіб. / Д. О. Карпенко. - К. : А.С.К., 2003. - 656 с.</w:t>
      </w:r>
    </w:p>
    <w:p w:rsidR="00CA7AE8" w:rsidRDefault="00054328">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Килячков А.А., Чалдаева Л.А. Организационное построение фондовой биржи // Финансы и кредит. - 2000. - С. 50 - 55.</w:t>
      </w:r>
    </w:p>
    <w:p w:rsidR="00CA7AE8" w:rsidRDefault="00054328">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Килячков А.А., Чалдаева Л.А., Рынок ценных бумаг и биржевое дело. - М.: Экономист, 2004. - 704с.</w:t>
      </w:r>
    </w:p>
    <w:p w:rsidR="00CA7AE8" w:rsidRDefault="00054328">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Кірієнко О.Е. Сутність і види ризиків у біржовій діяльності // Актуальні проблеми економіки. - 2003. - № 10. - С. 104-110.</w:t>
      </w:r>
    </w:p>
    <w:p w:rsidR="00CA7AE8" w:rsidRDefault="00054328">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Кличков А. Интернет-трейдинг в России //Финансовий бизнес. - 2001. - № 3. - С. 52-54.</w:t>
      </w:r>
    </w:p>
    <w:p w:rsidR="00CA7AE8" w:rsidRDefault="00054328">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Конное Л.А., Рашки Л.Б. Биржевые секреты. Высокоэффективные стратегии краткосрочной торговли. Пер. с англ. - М.: ИК Аналитик, 2002.-278с.</w:t>
      </w:r>
    </w:p>
    <w:p w:rsidR="00CA7AE8" w:rsidRDefault="00054328">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Король В., Перерва В., Пошкурлат А. До історії виникнення та діяльності біржі в Україні//Історія в школі. -2003. -№ 1, 4. -С. 6-9.</w:t>
      </w:r>
    </w:p>
    <w:p w:rsidR="00CA7AE8" w:rsidRDefault="00054328">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Костіна Н.І., Марахов К.С. Проблеми формування фондового ринку в Україні // Фінанси України. - 2000. - №2. - С. 30 - 36.</w:t>
      </w:r>
    </w:p>
    <w:p w:rsidR="00CA7AE8" w:rsidRDefault="00054328">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t>Кравченко Ю.Я. Фондовый рынок: Учебное пособие.-К: Дакор,КНТ 2008.-733с.</w:t>
      </w:r>
    </w:p>
    <w:p w:rsidR="00CA7AE8" w:rsidRDefault="00054328">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Крамаренко В.И., Холод Б.И., Воробьёв Ю.Н. Биржевая деятельность. Учеб. пособ. - Симферополь:Таврида, 2000. - 251с.</w:t>
      </w:r>
    </w:p>
    <w:p w:rsidR="00CA7AE8" w:rsidRDefault="00054328">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Лепейко Т. Інструменти ринку цінних паперів в Україні //Банківська справа. - 2000. - № 4. - C. 11-14.</w:t>
      </w:r>
    </w:p>
    <w:p w:rsidR="00CA7AE8" w:rsidRDefault="00054328">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Липилина С. Возникновение и развитие рынка ценных бумаг // Бизнес-Информ. - 1998. - №2. - С. 57 - 59.</w:t>
      </w:r>
    </w:p>
    <w:p w:rsidR="00CA7AE8" w:rsidRDefault="00054328">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Лялин В.А., Воробьёв П.В. Ценные бумаги и фондовая биржа - М: Біржі і банки - 2001.- 290 с.</w:t>
      </w:r>
    </w:p>
    <w:p w:rsidR="00CA7AE8" w:rsidRDefault="00054328">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Лященко В.И. Фондовые индексы и рейтинги. - Д.: Сталкер, 1998. - 317с.</w:t>
      </w:r>
    </w:p>
    <w:p w:rsidR="00CA7AE8" w:rsidRDefault="00054328">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Мальська М.П. Корпоративне управління // Електронна книга - &lt;http://pidruchniki.ws/15840720/menedzhment/korporativne_upravlinnya_-_malska_mp&gt;</w:t>
      </w:r>
    </w:p>
    <w:p w:rsidR="00CA7AE8" w:rsidRDefault="00054328">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Масленников В.В. Биржевое дело. - М.: ИНФРА-М, 2000. - 304 с.</w:t>
      </w:r>
    </w:p>
    <w:p w:rsidR="00CA7AE8" w:rsidRDefault="00054328">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Мельничук М., Юрчук Г. Інтернет-трейдинг та особливості організації інтернет- послуг на фондовому і валютних ринках // Вісник НБУ. - 2002. - № 8. - С. 2-8.</w:t>
      </w:r>
    </w:p>
    <w:p w:rsidR="00CA7AE8" w:rsidRDefault="00054328">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Модернізація торгівельної інфраструктури ринку цінних паперів / С.М. Захарін // Економіка України. - 2010. -№12. - С.44-48.</w:t>
      </w:r>
    </w:p>
    <w:p w:rsidR="00CA7AE8" w:rsidRDefault="00054328">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Мозговий О.М. Фондовий ринок: Навч. посібник. - К.: КНЕУ, 1999. - 316с.</w:t>
      </w:r>
    </w:p>
    <w:p w:rsidR="00CA7AE8" w:rsidRDefault="00054328">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Монтано Д. Биржи и банки XXI ст. Новая волна. - К.: Изд. Дом «Амадей», 2001. -270с.</w:t>
      </w:r>
    </w:p>
    <w:p w:rsidR="00CA7AE8" w:rsidRDefault="00054328">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Набока О. Деятельность бирж на фондовом ринке // Бизнес - информ. - 2002. - № 13-С.14.</w:t>
      </w:r>
    </w:p>
    <w:p w:rsidR="00CA7AE8" w:rsidRDefault="00054328">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Назарчук М. Про заходи щодо розвитку організованого ринку цінних паперів в Україні //Економіка України. - 2005. - № 12. - C. 19-24</w:t>
      </w:r>
    </w:p>
    <w:p w:rsidR="00CA7AE8" w:rsidRDefault="00054328">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Нидерхоффер В. Практика биржевых спекуляций. - 2-е изд. - М.: Альпина Бизнес Букс, 2005. - 560с.</w:t>
      </w:r>
    </w:p>
    <w:p w:rsidR="00CA7AE8" w:rsidRDefault="00054328">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Онлайн-издание UX Review // Официальный сайт фондовой биржи «Українська біржа» - &lt;http://www.ux.ua/s61&gt;</w:t>
      </w:r>
    </w:p>
    <w:p w:rsidR="00CA7AE8" w:rsidRDefault="00054328">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Оскольський В.В., Одинцов В.А., Яцкж Г.В. Фондова біржа від А до Я. Навч. посіб. - К.: УФБ, 2001.-79 с.</w:t>
      </w:r>
    </w:p>
    <w:p w:rsidR="00CA7AE8" w:rsidRDefault="00054328">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Официальный сайт Американской Фондовой Биржи - http://www.amex.com</w:t>
      </w:r>
    </w:p>
    <w:p w:rsidR="00CA7AE8" w:rsidRDefault="00054328">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Официальный сайт индекса Доу-Джонс - &lt;http://www.dowjones.com&gt;</w:t>
      </w:r>
    </w:p>
    <w:p w:rsidR="00CA7AE8" w:rsidRDefault="00054328">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Официальный сайт Лондонской Фондовой Биржи - http://www.londonstockexchange.com</w:t>
      </w:r>
    </w:p>
    <w:p w:rsidR="00CA7AE8" w:rsidRDefault="00054328">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Официальный сайт Нью-Йоркской Фондовой Биржи - http://www.nyse.com</w:t>
      </w:r>
    </w:p>
    <w:p w:rsidR="00CA7AE8" w:rsidRDefault="00054328">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Официальный сайт Токийской фондовой биржи - http://www.nni.nikkei.co.jp</w:t>
      </w:r>
    </w:p>
    <w:p w:rsidR="00CA7AE8" w:rsidRDefault="00054328">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t>Официальный сайт Украинской межбанковской валютной биржи - &lt;http://www.uice.com.ua/&gt;</w:t>
      </w:r>
    </w:p>
    <w:p w:rsidR="00CA7AE8" w:rsidRDefault="00054328">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Охорона праці: навч. посіб. / заред. 3. М. Яремка. - Л. : Вид. центр ЛНУ ім. Івана Франка, 2010. - 68 с.</w:t>
      </w:r>
    </w:p>
    <w:p w:rsidR="00CA7AE8" w:rsidRDefault="00054328">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Положення про функціонування фондових бірж: Рішення Комісії від 19.01.2010 №1542 // Урядовий кур'єр. -2010 (31.01.10).-№ 142.</w:t>
      </w:r>
    </w:p>
    <w:p w:rsidR="00CA7AE8" w:rsidRDefault="00054328">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Прилипко С. М. Трудове право України : підручник / С. М. Прилипко, О. М. Ярошенко. - X. : Вапнярчук Н. М, 2008. - 664 с.</w:t>
      </w:r>
    </w:p>
    <w:p w:rsidR="00CA7AE8" w:rsidRDefault="00054328">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Про акціонерні товариства. Закон від 17.09.2008 № 514-VI // Офіційний сайт Верховної Ради України - &lt;http://zakon3.rada.gov.ua/laws/show/514-17&gt;</w:t>
      </w:r>
    </w:p>
    <w:p w:rsidR="00CA7AE8" w:rsidRDefault="00054328">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Про державне регулювання ринку цінних паперів в Україні &lt;http://zakon.rada.gov.ua/go/448/96-%D0%B2%D1%80&gt;. Закон від 30.10.1996 № 448/96-ВР // Офіційний сайт Верховної Ради України - &lt;http://zakon2.rada.gov.ua/laws/show/448/96-%D0%B2%D1%80&gt;</w:t>
      </w:r>
    </w:p>
    <w:p w:rsidR="00CA7AE8" w:rsidRDefault="00054328">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Про охорону праці: Закону України N 2695-XII від 14.10.92 // Офіційний сайт Верховної Ради України - &lt;http://zakon2.rada.gov.ua/laws/show/2694-12&gt;</w:t>
      </w:r>
    </w:p>
    <w:p w:rsidR="00CA7AE8" w:rsidRDefault="00054328">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Про цінні папери та фондовий ринок &lt;http://zakon.rada.gov.ua/go/3480-15&gt;. Закон від 23.02.2006 № 3480-IV // Офіційний сайт Верховної Ради України - &lt;http://zakon1.rada.gov.ua/laws/show/3480-15&gt;</w:t>
      </w:r>
    </w:p>
    <w:p w:rsidR="00CA7AE8" w:rsidRDefault="00054328">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Прокопенко В. I. Трудове право України : підручник / В. I. Прокопенко. - X. : Консум, 1998. - 480 с.</w:t>
      </w:r>
    </w:p>
    <w:p w:rsidR="00CA7AE8" w:rsidRDefault="00054328">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Реєстри учасників ФР // Офіційний сайт Національної комісії з цінних паперів та фондового ринку - &lt;http://www.nssmc.gov.ua/fund/registers&gt;</w:t>
      </w:r>
    </w:p>
    <w:p w:rsidR="00CA7AE8" w:rsidRDefault="00054328">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Резго Г.Я., Кетова И.А. Биржевое дело. -М. : Финансы и статистика, 2001. - 271с.</w:t>
      </w:r>
    </w:p>
    <w:p w:rsidR="00CA7AE8" w:rsidRDefault="00054328">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Резго Г.Я., Храмцова Е.Р. Современные технологии биржевого рынка (хеджирование и спекуляция на бирже). - М. Феникс, 2004. - 187с.</w:t>
      </w:r>
    </w:p>
    <w:p w:rsidR="00CA7AE8" w:rsidRDefault="00054328">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Річні звіти НДУ // Офіційний сайт Національного дипозитарію України - &lt;http://csd.ua/index.php?option=com_content&amp;view=article&amp;id=85&amp;Itemid=60&amp;lang=ua&gt;</w:t>
      </w:r>
    </w:p>
    <w:p w:rsidR="00CA7AE8" w:rsidRDefault="00054328">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Розвиток інтернет-трейдингу в Україні // Електронний журнал Цінні папери України. - -&lt;http://www.securities.org.ua/securities_paper/review.php?id=585&amp;pub=4277&gt;</w:t>
      </w:r>
    </w:p>
    <w:p w:rsidR="00CA7AE8" w:rsidRDefault="00054328">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Розвиток ринку // Офіційний сайт Національної комісії з цінних паперів та фондового ринку - &lt;http://www.nssmc.gov.ua/fund/development&gt;</w:t>
      </w:r>
    </w:p>
    <w:p w:rsidR="00CA7AE8" w:rsidRDefault="00054328">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Савченко В.Д. Організація біржової діяльності. Навч. посіб. -X.: ХДЕУ, 2000. - 84с.</w:t>
      </w:r>
    </w:p>
    <w:p w:rsidR="00CA7AE8" w:rsidRDefault="00054328">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Савченко В.Д., Білоусько Т.Ю. Пракг. посіб. з організації біржової діяльності. - X.: ХДАУ, 2001.-175 с.</w:t>
      </w:r>
    </w:p>
    <w:p w:rsidR="00CA7AE8" w:rsidRDefault="00054328">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Свердан М. Клірингові системи на біржовому ринку // Цінні папери </w:t>
      </w:r>
      <w:r>
        <w:rPr>
          <w:rFonts w:ascii="Times New Roman CYR" w:hAnsi="Times New Roman CYR" w:cs="Times New Roman CYR"/>
          <w:sz w:val="28"/>
          <w:szCs w:val="28"/>
        </w:rPr>
        <w:lastRenderedPageBreak/>
        <w:t>України. - 2003.-№ 18.-С. 20.</w:t>
      </w:r>
    </w:p>
    <w:p w:rsidR="00CA7AE8" w:rsidRDefault="00054328">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Солодкий М.О. Біржовий ринок. - К.: В-во «Джерела М», -2-ге вид. 2002р. - 333с.</w:t>
      </w:r>
    </w:p>
    <w:p w:rsidR="00CA7AE8" w:rsidRDefault="00054328">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Сохацька О.М. Біржова справа. - Тернопіль: Карт-Бланш, 2003. - 602 с.</w:t>
      </w:r>
    </w:p>
    <w:p w:rsidR="00CA7AE8" w:rsidRDefault="00054328">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Сушко Р.В. Біржовий ринок цінних паперів у 2010 році: зростання на фоні концентрації торгів // Україна: бізнес-ревю. - 2011. - №5. - С. 6.</w:t>
      </w:r>
    </w:p>
    <w:p w:rsidR="00CA7AE8" w:rsidRDefault="00054328">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Твардовский В., Паршиков С. Секреты биржевой торговли. Торговля акциями на фондовых биржах. - М.: Альпина Паблишер, 2005. - 530с.</w:t>
      </w:r>
    </w:p>
    <w:p w:rsidR="00CA7AE8" w:rsidRDefault="00054328">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Тимченко А.В. Стан та перспективи біржової діяльності в Україні // Економіка АПК. - 2008. - № 12. - С.68-70.</w:t>
      </w:r>
    </w:p>
    <w:p w:rsidR="00CA7AE8" w:rsidRDefault="00054328">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Тьюлз Р., Брэдли Э., Тьюлз Т. Фондовый рынок. - 6-е изд., Пер. с англ. - М.: ИНФРА-М, 1997. - VIII + 648 с.</w:t>
      </w:r>
    </w:p>
    <w:p w:rsidR="00CA7AE8" w:rsidRDefault="00054328">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Украинская биржа // Официальный сайт Международной Ассоциации бирж стран СНГ - &lt;http://mab.micex.ru/houses/32&gt;</w:t>
      </w:r>
    </w:p>
    <w:p w:rsidR="00CA7AE8" w:rsidRDefault="00054328">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Фондова біржа // Официальный сайт фондовой биржи ПФТС - &lt;http://pfts.com/uk/stock-exchange-pfts/&gt;</w:t>
      </w:r>
    </w:p>
    <w:p w:rsidR="00CA7AE8" w:rsidRDefault="00054328">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Фондовая биржа ПФТС // Официальный сайт Международной Ассоциации бирж стран СНГ - http://mab.micex.ru/houses/20</w:t>
      </w:r>
    </w:p>
    <w:p w:rsidR="00CA7AE8" w:rsidRDefault="00054328">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Фондовые индексы Украины. Часть 1: опыт фондовых индексов зарубежных рынков // Бесплатная энциклопедия Форекса - http://www.forexwk.com/catalogues/41/articles/56</w:t>
      </w:r>
    </w:p>
    <w:p w:rsidR="00CA7AE8" w:rsidRDefault="00054328">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Фондовый рынок Украины - &lt;http://www.fundmarket.ua/&gt;</w:t>
      </w:r>
    </w:p>
    <w:p w:rsidR="00CA7AE8" w:rsidRDefault="00054328">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Ходаківська В.П., Данілов О.Д. Ринок фінансових послуг: Навчальний посібник. - Ірпінь: Академія ДПС України, 2001. - 501 с.</w:t>
      </w:r>
    </w:p>
    <w:p w:rsidR="00CA7AE8" w:rsidRDefault="00054328">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Цыглин А., Цыглин Д. Биржа.ua. -Д.; Ліра, 2011. -155с.</w:t>
      </w:r>
    </w:p>
    <w:p w:rsidR="00CA7AE8" w:rsidRDefault="00054328">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Чалдаева Л. А. Фондовая биржа. - М,: Экзамен, 2002. - 318с.</w:t>
      </w:r>
    </w:p>
    <w:p w:rsidR="00CA7AE8" w:rsidRDefault="00054328">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Чалдаева Л. А. Экономика и организация фондовой биржи: Учебное пособие. - М.: ЭКОНОМИСТЪ, 2006. - 332с.</w:t>
      </w:r>
    </w:p>
    <w:p w:rsidR="00CA7AE8" w:rsidRDefault="00054328">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Червова Л., Беликова Е. Биржевой сегмент фондового рынка // Бизнес-Информ. - 1999. - №11 - 12. - С. 81 - 83.</w:t>
      </w:r>
    </w:p>
    <w:p w:rsidR="00CA7AE8" w:rsidRDefault="00054328">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Чернецкая Г.Ф. Рынок ценных бумаг и биржевое дело. Практикум. - М.: Инфра-М, 2001.</w:t>
      </w:r>
    </w:p>
    <w:p w:rsidR="00CA7AE8" w:rsidRDefault="00054328">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Шелудько В. М. Фінансовий ринок: Підручник. -К.: Знання , 2006. -535 с.</w:t>
      </w:r>
    </w:p>
    <w:p w:rsidR="00CA7AE8" w:rsidRDefault="00054328">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Щербина В. I. Трудове право України : підручник / В. I. Щербина; за ред. В. С. Венедіктова. - К. : Істина, 2008. - 384 с.</w:t>
      </w:r>
    </w:p>
    <w:p w:rsidR="00054328" w:rsidRDefault="00054328">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Элдер А. Как играть и выигрывать на бирже. Пер. с англ. - М.: Диаграмма, 2003.-345с.</w:t>
      </w:r>
    </w:p>
    <w:sectPr w:rsidR="00054328">
      <w:headerReference w:type="even" r:id="rId43"/>
      <w:headerReference w:type="default" r:id="rId44"/>
      <w:footerReference w:type="even" r:id="rId45"/>
      <w:footerReference w:type="default" r:id="rId46"/>
      <w:headerReference w:type="first" r:id="rId47"/>
      <w:footerReference w:type="first" r:id="rId48"/>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582F" w:rsidRDefault="0017582F">
      <w:pPr>
        <w:spacing w:after="0" w:line="240" w:lineRule="auto"/>
      </w:pPr>
      <w:r>
        <w:separator/>
      </w:r>
    </w:p>
  </w:endnote>
  <w:endnote w:type="continuationSeparator" w:id="0">
    <w:p w:rsidR="0017582F" w:rsidRDefault="001758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0727" w:rsidRDefault="00F40727">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0727" w:rsidRDefault="00F40727" w:rsidP="00F40727">
    <w:pPr>
      <w:pStyle w:val="a5"/>
    </w:pPr>
    <w:r>
      <w:t xml:space="preserve">Вернуться в каталог готовых дипломов и магистерских диссертаций </w:t>
    </w:r>
  </w:p>
  <w:p w:rsidR="00F40727" w:rsidRDefault="00F40727" w:rsidP="00F40727">
    <w:pPr>
      <w:pStyle w:val="a5"/>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0727" w:rsidRDefault="00F4072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582F" w:rsidRDefault="0017582F">
      <w:pPr>
        <w:spacing w:after="0" w:line="240" w:lineRule="auto"/>
      </w:pPr>
      <w:r>
        <w:separator/>
      </w:r>
    </w:p>
  </w:footnote>
  <w:footnote w:type="continuationSeparator" w:id="0">
    <w:p w:rsidR="0017582F" w:rsidRDefault="0017582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0727" w:rsidRDefault="00F40727">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126" w:rsidRDefault="00A42126" w:rsidP="00A42126">
    <w:pPr>
      <w:pStyle w:val="a3"/>
    </w:pPr>
    <w:r>
      <w:t>Узнайте стоимость написания на заказ студенческих и аспирантских работ</w:t>
    </w:r>
  </w:p>
  <w:p w:rsidR="00F40727" w:rsidRDefault="00A42126" w:rsidP="00A42126">
    <w:pPr>
      <w:pStyle w:val="a3"/>
    </w:pPr>
    <w:r>
      <w:t>http://учебники.информ2000.рф/napisat-diplom.shtml</w:t>
    </w: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0727" w:rsidRDefault="00F40727">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0537"/>
    <w:rsid w:val="00054328"/>
    <w:rsid w:val="0017582F"/>
    <w:rsid w:val="002431B8"/>
    <w:rsid w:val="00447E09"/>
    <w:rsid w:val="004C0537"/>
    <w:rsid w:val="00682BD8"/>
    <w:rsid w:val="00A42126"/>
    <w:rsid w:val="00C03B3E"/>
    <w:rsid w:val="00CA7AE8"/>
    <w:rsid w:val="00F01C42"/>
    <w:rsid w:val="00F407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pPr>
      <w:tabs>
        <w:tab w:val="center" w:pos="4677"/>
        <w:tab w:val="right" w:pos="9355"/>
      </w:tabs>
    </w:pPr>
  </w:style>
  <w:style w:type="character" w:customStyle="1" w:styleId="a4">
    <w:name w:val="Верхний колонтитул Знак"/>
    <w:basedOn w:val="a0"/>
    <w:link w:val="a3"/>
    <w:uiPriority w:val="99"/>
    <w:locked/>
    <w:rPr>
      <w:rFonts w:cs="Times New Roman"/>
    </w:rPr>
  </w:style>
  <w:style w:type="paragraph" w:styleId="a5">
    <w:name w:val="footer"/>
    <w:basedOn w:val="a"/>
    <w:link w:val="a6"/>
    <w:uiPriority w:val="99"/>
    <w:unhideWhenUsed/>
    <w:pPr>
      <w:tabs>
        <w:tab w:val="center" w:pos="4677"/>
        <w:tab w:val="right" w:pos="9355"/>
      </w:tabs>
    </w:pPr>
  </w:style>
  <w:style w:type="character" w:customStyle="1" w:styleId="a6">
    <w:name w:val="Нижний колонтитул Знак"/>
    <w:basedOn w:val="a0"/>
    <w:link w:val="a5"/>
    <w:uiPriority w:val="99"/>
    <w:locked/>
    <w:rPr>
      <w:rFonts w:cs="Times New Roman"/>
    </w:rPr>
  </w:style>
  <w:style w:type="character" w:styleId="a7">
    <w:name w:val="Hyperlink"/>
    <w:basedOn w:val="a0"/>
    <w:uiPriority w:val="99"/>
    <w:unhideWhenUsed/>
    <w:rPr>
      <w:color w:val="0563C1"/>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pPr>
      <w:tabs>
        <w:tab w:val="center" w:pos="4677"/>
        <w:tab w:val="right" w:pos="9355"/>
      </w:tabs>
    </w:pPr>
  </w:style>
  <w:style w:type="character" w:customStyle="1" w:styleId="a4">
    <w:name w:val="Верхний колонтитул Знак"/>
    <w:basedOn w:val="a0"/>
    <w:link w:val="a3"/>
    <w:uiPriority w:val="99"/>
    <w:locked/>
    <w:rPr>
      <w:rFonts w:cs="Times New Roman"/>
    </w:rPr>
  </w:style>
  <w:style w:type="paragraph" w:styleId="a5">
    <w:name w:val="footer"/>
    <w:basedOn w:val="a"/>
    <w:link w:val="a6"/>
    <w:uiPriority w:val="99"/>
    <w:unhideWhenUsed/>
    <w:pPr>
      <w:tabs>
        <w:tab w:val="center" w:pos="4677"/>
        <w:tab w:val="right" w:pos="9355"/>
      </w:tabs>
    </w:pPr>
  </w:style>
  <w:style w:type="character" w:customStyle="1" w:styleId="a6">
    <w:name w:val="Нижний колонтитул Знак"/>
    <w:basedOn w:val="a0"/>
    <w:link w:val="a5"/>
    <w:uiPriority w:val="99"/>
    <w:locked/>
    <w:rPr>
      <w:rFonts w:cs="Times New Roman"/>
    </w:rPr>
  </w:style>
  <w:style w:type="character" w:styleId="a7">
    <w:name w:val="Hyperlink"/>
    <w:basedOn w:val="a0"/>
    <w:uiPriority w:val="99"/>
    <w:unhideWhenUsed/>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11.wmf"/><Relationship Id="rId26" Type="http://schemas.openxmlformats.org/officeDocument/2006/relationships/image" Target="media/image19.wmf"/><Relationship Id="rId39" Type="http://schemas.openxmlformats.org/officeDocument/2006/relationships/image" Target="media/image32.wmf"/><Relationship Id="rId3" Type="http://schemas.openxmlformats.org/officeDocument/2006/relationships/settings" Target="settings.xml"/><Relationship Id="rId21" Type="http://schemas.openxmlformats.org/officeDocument/2006/relationships/image" Target="media/image14.wmf"/><Relationship Id="rId34" Type="http://schemas.openxmlformats.org/officeDocument/2006/relationships/image" Target="media/image27.wmf"/><Relationship Id="rId42" Type="http://schemas.openxmlformats.org/officeDocument/2006/relationships/image" Target="media/image35.wmf"/><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hyperlink" Target="http://&#1091;&#1095;&#1077;&#1073;&#1085;&#1080;&#1082;&#1080;.&#1080;&#1085;&#1092;&#1086;&#1088;&#1084;2000.&#1088;&#1092;/diplom.shtml" TargetMode="Externa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image" Target="media/image18.wmf"/><Relationship Id="rId33" Type="http://schemas.openxmlformats.org/officeDocument/2006/relationships/image" Target="media/image26.wmf"/><Relationship Id="rId38" Type="http://schemas.openxmlformats.org/officeDocument/2006/relationships/image" Target="media/image31.wmf"/><Relationship Id="rId46" Type="http://schemas.openxmlformats.org/officeDocument/2006/relationships/footer" Target="footer2.xml"/><Relationship Id="rId2" Type="http://schemas.microsoft.com/office/2007/relationships/stylesWithEffects" Target="stylesWithEffects.xml"/><Relationship Id="rId16" Type="http://schemas.openxmlformats.org/officeDocument/2006/relationships/image" Target="media/image9.wmf"/><Relationship Id="rId20" Type="http://schemas.openxmlformats.org/officeDocument/2006/relationships/image" Target="media/image13.wmf"/><Relationship Id="rId29" Type="http://schemas.openxmlformats.org/officeDocument/2006/relationships/image" Target="media/image22.wmf"/><Relationship Id="rId41" Type="http://schemas.openxmlformats.org/officeDocument/2006/relationships/image" Target="media/image34.wmf"/><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image" Target="media/image17.wmf"/><Relationship Id="rId32" Type="http://schemas.openxmlformats.org/officeDocument/2006/relationships/image" Target="media/image25.wmf"/><Relationship Id="rId37" Type="http://schemas.openxmlformats.org/officeDocument/2006/relationships/image" Target="media/image30.wmf"/><Relationship Id="rId40" Type="http://schemas.openxmlformats.org/officeDocument/2006/relationships/image" Target="media/image33.wmf"/><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image" Target="media/image16.wmf"/><Relationship Id="rId28" Type="http://schemas.openxmlformats.org/officeDocument/2006/relationships/image" Target="media/image21.wmf"/><Relationship Id="rId36" Type="http://schemas.openxmlformats.org/officeDocument/2006/relationships/image" Target="media/image29.wmf"/><Relationship Id="rId49" Type="http://schemas.openxmlformats.org/officeDocument/2006/relationships/fontTable" Target="fontTable.xml"/><Relationship Id="rId10" Type="http://schemas.openxmlformats.org/officeDocument/2006/relationships/image" Target="media/image3.wmf"/><Relationship Id="rId19" Type="http://schemas.openxmlformats.org/officeDocument/2006/relationships/image" Target="media/image12.wmf"/><Relationship Id="rId31" Type="http://schemas.openxmlformats.org/officeDocument/2006/relationships/image" Target="media/image24.wmf"/><Relationship Id="rId44"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image" Target="media/image15.wmf"/><Relationship Id="rId27" Type="http://schemas.openxmlformats.org/officeDocument/2006/relationships/image" Target="media/image20.wmf"/><Relationship Id="rId30" Type="http://schemas.openxmlformats.org/officeDocument/2006/relationships/image" Target="media/image23.wmf"/><Relationship Id="rId35" Type="http://schemas.openxmlformats.org/officeDocument/2006/relationships/image" Target="media/image28.wmf"/><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image" Target="media/image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1</Pages>
  <Words>27772</Words>
  <Characters>158307</Characters>
  <Application>Microsoft Office Word</Application>
  <DocSecurity>0</DocSecurity>
  <Lines>1319</Lines>
  <Paragraphs>371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185708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9</cp:revision>
  <dcterms:created xsi:type="dcterms:W3CDTF">2021-09-04T12:36:00Z</dcterms:created>
  <dcterms:modified xsi:type="dcterms:W3CDTF">2023-05-09T06:44:00Z</dcterms:modified>
</cp:coreProperties>
</file>