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6" w:rsidRDefault="00550FB6">
      <w:pPr>
        <w:pStyle w:val="9"/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</w:p>
    <w:p w:rsidR="00550FB6" w:rsidRPr="00550FB6" w:rsidRDefault="00550FB6" w:rsidP="00550FB6">
      <w:pPr>
        <w:pStyle w:val="9"/>
        <w:tabs>
          <w:tab w:val="left" w:pos="354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550FB6">
        <w:rPr>
          <w:b/>
          <w:sz w:val="28"/>
          <w:szCs w:val="28"/>
        </w:rPr>
        <w:t>Оценка инвестиционной привлекательности проекта по созданию гостиничного комплекса</w:t>
      </w:r>
    </w:p>
    <w:p w:rsidR="00550FB6" w:rsidRDefault="00550FB6" w:rsidP="00550FB6">
      <w:pPr>
        <w:pStyle w:val="9"/>
        <w:tabs>
          <w:tab w:val="left" w:pos="3544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Диплом</w:t>
      </w:r>
    </w:p>
    <w:p w:rsidR="00550FB6" w:rsidRDefault="00550FB6">
      <w:pPr>
        <w:pStyle w:val="9"/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pStyle w:val="9"/>
        <w:tabs>
          <w:tab w:val="left" w:pos="354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BE4E0F" w:rsidRDefault="00BE4E0F">
      <w:pPr>
        <w:tabs>
          <w:tab w:val="left" w:pos="828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E4E0F" w:rsidRDefault="00BE4E0F">
      <w:pPr>
        <w:tabs>
          <w:tab w:val="left" w:pos="828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Введение</w:t>
      </w:r>
    </w:p>
    <w:p w:rsidR="00BE4E0F" w:rsidRDefault="00BE4E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Глава 1. Теоретические аспекты инвестиционной деятельности</w:t>
      </w:r>
    </w:p>
    <w:p w:rsidR="00BE4E0F" w:rsidRDefault="00BE4E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Понятие и виды инвестиций, их классификация </w:t>
      </w:r>
    </w:p>
    <w:p w:rsidR="00BE4E0F" w:rsidRDefault="00BE4E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.2 Экономическая характеристика показателей эффективности инвестиционного проекта</w:t>
      </w:r>
    </w:p>
    <w:p w:rsidR="00BE4E0F" w:rsidRDefault="00BE4E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.3 Характеристика рисков инвестиционной деятельности </w:t>
      </w:r>
    </w:p>
    <w:p w:rsidR="00BE4E0F" w:rsidRDefault="00BE4E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2. Оценка инвестиционной привлекательности проекта по созданию гостиничного комплекса</w:t>
      </w:r>
    </w:p>
    <w:p w:rsidR="00BE4E0F" w:rsidRDefault="00BE4E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.1 Характеристика проекта по созданию гостиничного комплекса</w:t>
      </w:r>
    </w:p>
    <w:p w:rsidR="00BE4E0F" w:rsidRDefault="00BE4E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.2 Расчет </w:t>
      </w:r>
      <w:proofErr w:type="gramStart"/>
      <w:r>
        <w:rPr>
          <w:sz w:val="28"/>
          <w:szCs w:val="28"/>
        </w:rPr>
        <w:t>показателей эффективности оценки инвестиционной привлекательности проекта</w:t>
      </w:r>
      <w:proofErr w:type="gramEnd"/>
      <w:r>
        <w:rPr>
          <w:sz w:val="28"/>
          <w:szCs w:val="28"/>
        </w:rPr>
        <w:t xml:space="preserve"> по созданию гостиничного комплекса</w:t>
      </w:r>
    </w:p>
    <w:p w:rsidR="00BE4E0F" w:rsidRDefault="00BE4E0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.3 Составление бизнес плана</w:t>
      </w:r>
    </w:p>
    <w:p w:rsidR="00BE4E0F" w:rsidRDefault="00BE4E0F">
      <w:pPr>
        <w:tabs>
          <w:tab w:val="left" w:pos="828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3. Инвестиции в природу</w:t>
      </w:r>
    </w:p>
    <w:p w:rsidR="00BE4E0F" w:rsidRDefault="00BE4E0F">
      <w:pPr>
        <w:tabs>
          <w:tab w:val="left" w:pos="828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E4E0F" w:rsidRDefault="00BE4E0F">
      <w:pPr>
        <w:tabs>
          <w:tab w:val="left" w:pos="828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</w:p>
    <w:p w:rsidR="00BE4E0F" w:rsidRDefault="00BE4E0F">
      <w:pPr>
        <w:tabs>
          <w:tab w:val="left" w:pos="8283"/>
        </w:tabs>
        <w:spacing w:line="360" w:lineRule="auto"/>
        <w:jc w:val="both"/>
        <w:rPr>
          <w:sz w:val="28"/>
          <w:szCs w:val="28"/>
          <w:lang w:val="uk-UA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Введение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Инвестиции - одно из важнейших условий стабильного развития и устойчивого роста экономики любого государства. 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экономической системы - компании, отрасли, национальное хозяйство в целом - постоянно ощущают потребность в средствах, необходимых для создания и расширения, реконструкции или технического перевооружения, а также для формирования основного и связанного с ним оборотного капитала. В последние два года эта потребность стала настолько велика, что возникший дисбаланс между возросшим спросом на денежные ресурсы и источниками его обеспечения, стал одним из факторов, приведших к кризису мировой экономической системы в конце 2008 года. Таким образом, в настоящий момент, при сложившемся дефиците ресурсов, перед потенциальными инвесторами открываются широкие возможности. 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экономический стимул инвестирования - получение дохода от вложения финансовых средств. При этом прирост капитала, полученный в результате инвестирования, должен быть достаточным, чтобы возместить инвестору отказ от потребления имеющихся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екущем периоде, вознаградить его за риск и компенсировать потери от инфляции в будущем периоде. В связи с этим, первоочередной задачей для инвестора является проведение оценки инвестиционной привлекательности того или иного объекта или проекта, что, несомненно, подтверждает актуальность данной темы.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работы - оценить инвестиционную привлекательность проекта по созданию гостиничного комплекса.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Поставленная цель предопределила постановку и решение следующих задач: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). рассмотреть понятие и классификацию видов инвестиций;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). выделить показатели эффективности, используемые при оценке привлекательности инвестиционных проектов;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ознакомиться с видами инвестиционных рисков;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рассчитать показатели эффективности оценки инвестиционной привлекательности проекта по созданию гостиничного комплекса;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составить бизнес план для данного проекта;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на основе полученных данных сделать выводы об инвестиционной привлекательности проекта.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Объектом курсовой работы является проект по созданию гостиничного комплекса.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исследования является - способ и методы оценки инвестиционной привлекательности объекта.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Глава 1. Теоретические аспекты инвестиционной деятельности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.1 Понятие и виды инвестиций, их классификация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действующему российскому законодательству «инвестиции - это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эффекта».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экономической точки зрения инвестиции - это долгосрочные вложения государственного или частного капитала в собственной стране или за рубежом с целью получения дохода в предприятия разных отраслей, предпринимательские проекты, социально-экономические программы, инновационные проекты, дающие отдачу через значительный срок после вложения. 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Существуют и другие определения термина «инвестиции», но в целом можно отметить, что все они сводятся к выделению двух характерных признаков. Первый - это затраты ресурса и получения результата; второй признак - направление результатов от реализации инвестиций не на текущее потребление, а на обеспечение определенных долгосрочных целей. 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экономической литературе существует несколько подходов к классификации инвестиций. Отличие подходов заключается в различии признаков, положенных и их основу. Проанализировав некоторые из них, можно выделить классификационные признаки присущие всем вариантам: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объект вложения средств;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цель инвестирования;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риски;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форма собственности на инвестиционные ресурсы; 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) региональный признак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) срок инвестирования.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этих общих признаков классификацию инвестиций можно представить в виде следующего рисунка: 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0"/>
        <w:gridCol w:w="424"/>
        <w:gridCol w:w="540"/>
        <w:gridCol w:w="714"/>
        <w:gridCol w:w="540"/>
        <w:gridCol w:w="540"/>
        <w:gridCol w:w="540"/>
        <w:gridCol w:w="360"/>
        <w:gridCol w:w="540"/>
        <w:gridCol w:w="540"/>
        <w:gridCol w:w="540"/>
        <w:gridCol w:w="720"/>
        <w:gridCol w:w="720"/>
        <w:gridCol w:w="720"/>
        <w:gridCol w:w="292"/>
        <w:gridCol w:w="428"/>
      </w:tblGrid>
      <w:tr w:rsidR="00BE4E0F"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</w:t>
            </w:r>
          </w:p>
        </w:tc>
        <w:tc>
          <w:tcPr>
            <w:tcW w:w="24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</w:p>
        </w:tc>
      </w:tr>
      <w:tr w:rsidR="00BE4E0F"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sz w:val="20"/>
                <w:szCs w:val="20"/>
              </w:rPr>
              <w:t>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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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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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Symbol" w:hAnsi="Symbol" w:cs="Symbol"/>
                <w:sz w:val="20"/>
                <w:szCs w:val="20"/>
              </w:rPr>
              <w:t>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E4E0F">
        <w:tc>
          <w:tcPr>
            <w:tcW w:w="12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объектам вложения средств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целям инвестирования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рискам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формам собственности на инвестиционные ресурсы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региональному признаку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срокам инвестирования</w:t>
            </w:r>
          </w:p>
        </w:tc>
      </w:tr>
      <w:tr w:rsidR="00BE4E0F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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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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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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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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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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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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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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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</w:t>
            </w:r>
          </w:p>
        </w:tc>
      </w:tr>
      <w:tr w:rsidR="00BE4E0F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Реальные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Прямые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Портфельные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Агрессивные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Умеренные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Консервативные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Частные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Совместные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</w:t>
            </w:r>
          </w:p>
        </w:tc>
      </w:tr>
    </w:tbl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Рис. 1 Классификация инвестиций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Остановимся подробнее на некоторых из них.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Реальные (</w:t>
      </w:r>
      <w:proofErr w:type="spellStart"/>
      <w:r>
        <w:rPr>
          <w:sz w:val="28"/>
          <w:szCs w:val="28"/>
        </w:rPr>
        <w:t>капиталообразующие</w:t>
      </w:r>
      <w:proofErr w:type="spellEnd"/>
      <w:r>
        <w:rPr>
          <w:sz w:val="28"/>
          <w:szCs w:val="28"/>
        </w:rPr>
        <w:t>) инвестиции. Это вложения в основные фонды и инвестиции в запасы товарно-материальных ценностей. Иначе говоря, это вложения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еальные активы - как материальные, так и нематериальные. Реальные инвестиции осуществляются в форме капитальных вложений. «Капитальные вложения -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затраты».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Финансовые инвестиции. Это вложение средств в различные финансовые инструменты, среди которых наиболее значимую долю занимают вложение средств в ценные бумаги</w:t>
      </w:r>
      <w:proofErr w:type="gramStart"/>
      <w:r>
        <w:rPr>
          <w:sz w:val="28"/>
          <w:szCs w:val="28"/>
        </w:rPr>
        <w:t>.</w:t>
      </w:r>
      <w:proofErr w:type="gramEnd"/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Прямые инвестиции представляют собой вложения в конкретный, как </w:t>
      </w:r>
      <w:r>
        <w:rPr>
          <w:sz w:val="28"/>
          <w:szCs w:val="28"/>
        </w:rPr>
        <w:lastRenderedPageBreak/>
        <w:t>правило, долгосрочный проект и обычно связаны с приобретением реальных активов.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Портфельными инвестициями называют вложения капитала в группу проектов. Чаще всего формируются в виде портфеля ценных бумаг</w:t>
      </w:r>
      <w:proofErr w:type="gramStart"/>
      <w:r>
        <w:rPr>
          <w:sz w:val="28"/>
          <w:szCs w:val="28"/>
        </w:rPr>
        <w:t>.</w:t>
      </w:r>
      <w:proofErr w:type="gramEnd"/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На агрессивные, умеренные и консервативные по уровню риска инвестиции делят в соответствии с вероятностью неполучения намеченного дохода, а также вероятностью частичной или полной потерей вложенных средств.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Частные инвестиции - инвестиции осуществляемые частными лицами и предприятиями негосударственной формы собственности.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Государственные инвестиции - осуществляемые государственными органами власти различных уровней за счет соответствующих бюджетов, внебюджетных фондов и заемных средств, а также реализуемые государственными предприятиями и предприятиями с участием государства за счет собственных и заемных средств.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Иностранные инвестиции - инвестиции, осуществляемые иностранными юридическими и физическими лицами, а также непосредственно иностранными государствами и международными организациями.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Совместные инвестиции - осуществляемые совместно отечественными и иностранными инвесторами.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Внутренние инвестиции - вложение средств в объекты, расположенные на территории данной страны.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Внешние инвестиции - вложение средств в объекты, размещенные за государственными границами данной страны.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 Краткосрочные инвестиции - вложение капитала на период не более одного года.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Долгосрочные инвестиции - вложение капитала на период свыше одного </w:t>
      </w:r>
      <w:r>
        <w:rPr>
          <w:sz w:val="28"/>
          <w:szCs w:val="28"/>
        </w:rPr>
        <w:lastRenderedPageBreak/>
        <w:t xml:space="preserve">года. 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.2 Экономическая характеристика показателей эффективности инвестиционного проекта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оценки эффективности инвестиционного проекта заключается в определении уровня его доходности. Для определения этого уровня используют показатели экономической эффективности, которые делят на две группы: простые (статические), не учитывающие принципа стоимости денег во времени и сложные (динамические), основанные на принципе дисконтирования денежных потоков, т.е. учитывающие различную ценность денег во времени.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статическим показателям оценки эффективности относят: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Простой срок окупаемости РР (</w:t>
      </w:r>
      <w:r>
        <w:rPr>
          <w:sz w:val="28"/>
          <w:szCs w:val="28"/>
          <w:lang w:val="en-US"/>
        </w:rPr>
        <w:t>Payback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Period</w:t>
      </w:r>
      <w:r>
        <w:rPr>
          <w:sz w:val="28"/>
          <w:szCs w:val="28"/>
        </w:rPr>
        <w:t>) - это ожидаемый период возмещения первоначальных вложений из чистых поступлений (когда чистые поступления представляют собой денежные поступления за вычетом расходов). Рассчитывается как отношение общего объема инвестиций к сумме чистой прибыли и амортизационных отчислений</w:t>
      </w:r>
      <w:proofErr w:type="gramStart"/>
      <w:r>
        <w:rPr>
          <w:sz w:val="28"/>
          <w:szCs w:val="28"/>
        </w:rPr>
        <w:t xml:space="preserve">. </w:t>
      </w:r>
      <w:proofErr w:type="gramEnd"/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Бухгалтерская норма прибыли </w:t>
      </w:r>
      <w:r>
        <w:rPr>
          <w:sz w:val="28"/>
          <w:szCs w:val="28"/>
          <w:lang w:val="en-US"/>
        </w:rPr>
        <w:t>ARR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Accounting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Period</w:t>
      </w:r>
      <w:r>
        <w:rPr>
          <w:sz w:val="28"/>
          <w:szCs w:val="28"/>
        </w:rPr>
        <w:t xml:space="preserve">) - показывает какая часть инвестиционных затрат возмещается в виде прибыли в течение одного интервала планирования. Рассчитывается как отношение чистой прибыли к общему объему инвестиций. 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Статические показатели не учитывают неравномерность сумм поступлений и платежей, относящихся к разным периодам времени, поэтому могут использоваться только для грубой оценки риска инвестирования. 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более точной оценки эффективности инвестиционных проектов используют динамические показатели. К ним относятся:</w:t>
      </w:r>
    </w:p>
    <w:p w:rsidR="00BE4E0F" w:rsidRDefault="00BE4E0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Чистый дисконтированный (приведенный) доход </w:t>
      </w:r>
      <w:r>
        <w:rPr>
          <w:sz w:val="28"/>
          <w:szCs w:val="28"/>
          <w:lang w:val="en-US"/>
        </w:rPr>
        <w:t>NPV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Present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Value</w:t>
      </w:r>
      <w:r>
        <w:rPr>
          <w:sz w:val="28"/>
          <w:szCs w:val="28"/>
        </w:rPr>
        <w:t xml:space="preserve">), который представляет собой дисконтированный показатель ценности проекта. </w:t>
      </w:r>
      <w:proofErr w:type="gramStart"/>
      <w:r>
        <w:rPr>
          <w:sz w:val="28"/>
          <w:szCs w:val="28"/>
          <w:lang w:val="en-US"/>
        </w:rPr>
        <w:t>NPV</w:t>
      </w:r>
      <w:r>
        <w:rPr>
          <w:sz w:val="28"/>
          <w:szCs w:val="28"/>
        </w:rPr>
        <w:t xml:space="preserve"> определяется как результат сопоставления величины исходной </w:t>
      </w:r>
      <w:r>
        <w:rPr>
          <w:sz w:val="28"/>
          <w:szCs w:val="28"/>
        </w:rPr>
        <w:lastRenderedPageBreak/>
        <w:t>инвестиции (</w:t>
      </w:r>
      <w:r>
        <w:rPr>
          <w:sz w:val="28"/>
          <w:szCs w:val="28"/>
          <w:lang w:val="en-US"/>
        </w:rPr>
        <w:t>IC</w:t>
      </w:r>
      <w:r>
        <w:rPr>
          <w:sz w:val="28"/>
          <w:szCs w:val="28"/>
        </w:rPr>
        <w:t>) с общей суммой дисконтированных чистых денежных поступлений, которые данная инвестиция генерирует на протяжении всего прогнозного периода.</w:t>
      </w:r>
      <w:proofErr w:type="gramEnd"/>
      <w:r>
        <w:rPr>
          <w:sz w:val="28"/>
          <w:szCs w:val="28"/>
        </w:rPr>
        <w:t xml:space="preserve"> Поскольку приток денежных средств распределен во времени, он дисконтируется с помощью коэффициента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устанавливаемого инвестором (аналитиком) самостоятельно исходя из ежегодного процента возврата, который он хочет или может иметь на инвестируемый им капитал. </w:t>
      </w:r>
      <w:proofErr w:type="gramStart"/>
      <w:r>
        <w:rPr>
          <w:sz w:val="28"/>
          <w:szCs w:val="28"/>
          <w:lang w:val="en-US"/>
        </w:rPr>
        <w:t>NPV</w:t>
      </w:r>
      <w:r>
        <w:rPr>
          <w:sz w:val="28"/>
          <w:szCs w:val="28"/>
        </w:rPr>
        <w:t xml:space="preserve"> рассчитывается по формуле (1).</w:t>
      </w:r>
      <w:proofErr w:type="gramEnd"/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</w:t>
      </w:r>
      <w:proofErr w:type="gramStart"/>
      <w:r>
        <w:rPr>
          <w:sz w:val="28"/>
          <w:szCs w:val="28"/>
          <w:vertAlign w:val="subscript"/>
          <w:lang w:val="en-US"/>
        </w:rPr>
        <w:t>k</w:t>
      </w:r>
      <w:proofErr w:type="gramEnd"/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NPV</w:t>
      </w:r>
      <w:r>
        <w:rPr>
          <w:sz w:val="28"/>
          <w:szCs w:val="28"/>
        </w:rPr>
        <w:t xml:space="preserve">=∑──── - </w:t>
      </w:r>
      <w:r>
        <w:rPr>
          <w:sz w:val="28"/>
          <w:szCs w:val="28"/>
          <w:lang w:val="en-US"/>
        </w:rPr>
        <w:t>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  <w:vertAlign w:val="superscript"/>
          <w:lang w:val="en-US"/>
        </w:rPr>
        <w:t>k</w:t>
      </w:r>
      <w:proofErr w:type="gramEnd"/>
      <w:r>
        <w:rPr>
          <w:sz w:val="28"/>
          <w:szCs w:val="28"/>
        </w:rPr>
        <w:t xml:space="preserve"> (1+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  <w:lang w:val="en-US"/>
        </w:rPr>
        <w:t>k</w:t>
      </w:r>
    </w:p>
    <w:p w:rsidR="00BE4E0F" w:rsidRPr="00550FB6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k</w:t>
      </w:r>
      <w:proofErr w:type="spellEnd"/>
      <w:r>
        <w:rPr>
          <w:sz w:val="28"/>
          <w:szCs w:val="28"/>
        </w:rPr>
        <w:t xml:space="preserve"> - поток денежных средств в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году;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ставка</w:t>
      </w:r>
      <w:proofErr w:type="gramEnd"/>
      <w:r>
        <w:rPr>
          <w:sz w:val="28"/>
          <w:szCs w:val="28"/>
        </w:rPr>
        <w:t xml:space="preserve"> дисконтирования (стоимость привлеченного капитала);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IC</w:t>
      </w:r>
      <w:r>
        <w:rPr>
          <w:sz w:val="28"/>
          <w:szCs w:val="28"/>
        </w:rPr>
        <w:t xml:space="preserve"> - первоначальные инвестиций.</w:t>
      </w:r>
      <w:proofErr w:type="gramEnd"/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sz w:val="28"/>
          <w:szCs w:val="28"/>
          <w:lang w:val="en-US"/>
        </w:rPr>
        <w:t>NPV</w:t>
      </w:r>
      <w:r>
        <w:rPr>
          <w:sz w:val="28"/>
          <w:szCs w:val="28"/>
        </w:rPr>
        <w:t xml:space="preserve"> &gt; 0, то проект следует принять;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sz w:val="28"/>
          <w:szCs w:val="28"/>
          <w:lang w:val="en-US"/>
        </w:rPr>
        <w:t>NPV</w:t>
      </w:r>
      <w:r>
        <w:rPr>
          <w:sz w:val="28"/>
          <w:szCs w:val="28"/>
        </w:rPr>
        <w:t xml:space="preserve"> &lt; 0, то проект следует отвергнуть;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sz w:val="28"/>
          <w:szCs w:val="28"/>
          <w:lang w:val="en-US"/>
        </w:rPr>
        <w:t>NPV</w:t>
      </w:r>
      <w:r>
        <w:rPr>
          <w:sz w:val="28"/>
          <w:szCs w:val="28"/>
        </w:rPr>
        <w:t xml:space="preserve"> = 0, то проект не является ни прибыльным, ни убыточным.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Достоинства метода: чистый дисконтированный доход </w:t>
      </w:r>
      <w:r>
        <w:rPr>
          <w:sz w:val="28"/>
          <w:szCs w:val="28"/>
          <w:lang w:val="en-US"/>
        </w:rPr>
        <w:t>NPV</w:t>
      </w:r>
      <w:r>
        <w:rPr>
          <w:sz w:val="28"/>
          <w:szCs w:val="28"/>
        </w:rPr>
        <w:t xml:space="preserve"> является наглядным показателем прироста благосостояния собственников капитала. Возможность суммировать </w:t>
      </w:r>
      <w:r>
        <w:rPr>
          <w:sz w:val="28"/>
          <w:szCs w:val="28"/>
          <w:lang w:val="en-US"/>
        </w:rPr>
        <w:t>NPV</w:t>
      </w:r>
      <w:r>
        <w:rPr>
          <w:sz w:val="28"/>
          <w:szCs w:val="28"/>
        </w:rPr>
        <w:t xml:space="preserve"> отдельных проектов, позволяет использовать этот метод при формировании инвестиционного портфеля.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Недостатки метода: одним из основных факторов, определяющих величину </w:t>
      </w:r>
      <w:r>
        <w:rPr>
          <w:sz w:val="28"/>
          <w:szCs w:val="28"/>
          <w:lang w:val="en-US"/>
        </w:rPr>
        <w:t>NPV</w:t>
      </w:r>
      <w:r>
        <w:rPr>
          <w:sz w:val="28"/>
          <w:szCs w:val="28"/>
        </w:rPr>
        <w:t xml:space="preserve"> проекта, является масштаб деятельности, проявляющийся в объеме инвестиций, производства или продаж, что не позволяет сравнивать проекты с одинаковой </w:t>
      </w:r>
      <w:r>
        <w:rPr>
          <w:sz w:val="28"/>
          <w:szCs w:val="28"/>
          <w:lang w:val="en-US"/>
        </w:rPr>
        <w:t>NPV</w:t>
      </w:r>
      <w:r>
        <w:rPr>
          <w:sz w:val="28"/>
          <w:szCs w:val="28"/>
        </w:rPr>
        <w:t>, но разной капиталоемкостью.</w:t>
      </w:r>
    </w:p>
    <w:p w:rsidR="00BE4E0F" w:rsidRDefault="00BE4E0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Индекс рентабельности (доходности) </w:t>
      </w:r>
      <w:r>
        <w:rPr>
          <w:sz w:val="28"/>
          <w:szCs w:val="28"/>
          <w:lang w:val="en-US"/>
        </w:rPr>
        <w:t>PI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Profitability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Index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lastRenderedPageBreak/>
        <w:t xml:space="preserve">показывает относительную прибыльность проекта, или дисконтированную величину денежных поступлений от проекта в расчете на единицу вложений. Рассчитывается </w:t>
      </w:r>
      <w:r>
        <w:rPr>
          <w:sz w:val="28"/>
          <w:szCs w:val="28"/>
          <w:lang w:val="en-US"/>
        </w:rPr>
        <w:t>PI</w:t>
      </w:r>
      <w:r>
        <w:rPr>
          <w:sz w:val="28"/>
          <w:szCs w:val="28"/>
        </w:rPr>
        <w:t xml:space="preserve"> по формуле (2)</w:t>
      </w:r>
    </w:p>
    <w:p w:rsidR="00BE4E0F" w:rsidRPr="00550FB6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Pr="00550FB6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</w:t>
      </w:r>
      <w:proofErr w:type="gramStart"/>
      <w:r>
        <w:rPr>
          <w:sz w:val="28"/>
          <w:szCs w:val="28"/>
          <w:vertAlign w:val="subscript"/>
          <w:lang w:val="en-US"/>
        </w:rPr>
        <w:t>k</w:t>
      </w:r>
      <w:proofErr w:type="gramEnd"/>
      <w:r w:rsidRPr="00550FB6">
        <w:rPr>
          <w:sz w:val="28"/>
          <w:szCs w:val="28"/>
        </w:rPr>
        <w:t xml:space="preserve">= ∑--------- / </w:t>
      </w:r>
      <w:r>
        <w:rPr>
          <w:sz w:val="28"/>
          <w:szCs w:val="28"/>
          <w:lang w:val="en-US"/>
        </w:rPr>
        <w:t>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0FB6">
        <w:rPr>
          <w:sz w:val="28"/>
          <w:szCs w:val="28"/>
        </w:rPr>
        <w:t>(2)</w:t>
      </w:r>
    </w:p>
    <w:p w:rsidR="00BE4E0F" w:rsidRPr="00550FB6" w:rsidRDefault="00BE4E0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</w:t>
      </w:r>
      <w:proofErr w:type="gramStart"/>
      <w:r>
        <w:rPr>
          <w:sz w:val="28"/>
          <w:szCs w:val="28"/>
          <w:vertAlign w:val="superscript"/>
          <w:lang w:val="en-US"/>
        </w:rPr>
        <w:t>k</w:t>
      </w:r>
      <w:proofErr w:type="gramEnd"/>
      <w:r w:rsidRPr="00550FB6">
        <w:rPr>
          <w:sz w:val="28"/>
          <w:szCs w:val="28"/>
        </w:rPr>
        <w:t xml:space="preserve"> (1+</w:t>
      </w:r>
      <w:r>
        <w:rPr>
          <w:sz w:val="28"/>
          <w:szCs w:val="28"/>
          <w:lang w:val="en-US"/>
        </w:rPr>
        <w:t>r</w:t>
      </w:r>
      <w:r w:rsidRPr="00550FB6">
        <w:rPr>
          <w:sz w:val="28"/>
          <w:szCs w:val="28"/>
        </w:rPr>
        <w:t>)</w:t>
      </w:r>
      <w:r>
        <w:rPr>
          <w:sz w:val="28"/>
          <w:szCs w:val="28"/>
          <w:vertAlign w:val="superscript"/>
          <w:lang w:val="en-US"/>
        </w:rPr>
        <w:t>k</w:t>
      </w:r>
      <w:r w:rsidRPr="00550FB6">
        <w:rPr>
          <w:sz w:val="28"/>
          <w:szCs w:val="28"/>
        </w:rPr>
        <w:t xml:space="preserve"> 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sz w:val="28"/>
          <w:szCs w:val="28"/>
          <w:lang w:val="en-US"/>
        </w:rPr>
        <w:t>PI</w:t>
      </w:r>
      <w:r>
        <w:rPr>
          <w:sz w:val="28"/>
          <w:szCs w:val="28"/>
        </w:rPr>
        <w:t xml:space="preserve"> &gt; 1, то проект следует принять;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sz w:val="28"/>
          <w:szCs w:val="28"/>
          <w:lang w:val="en-US"/>
        </w:rPr>
        <w:t>PI</w:t>
      </w:r>
      <w:r>
        <w:rPr>
          <w:sz w:val="28"/>
          <w:szCs w:val="28"/>
        </w:rPr>
        <w:t xml:space="preserve"> &lt; 1, то проект следует отвергнуть;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sz w:val="28"/>
          <w:szCs w:val="28"/>
          <w:lang w:val="en-US"/>
        </w:rPr>
        <w:t>PI</w:t>
      </w:r>
      <w:r>
        <w:rPr>
          <w:sz w:val="28"/>
          <w:szCs w:val="28"/>
        </w:rPr>
        <w:t xml:space="preserve"> = 1, то проект не является ни прибыльным, ни убыточным.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Достоинства этого метода: простая интерпретация, относительность показателя, что позволят ранжировать проекты при ограниченных инвестиционных ресурсах.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Недостатки метод: неоднозначность при дисконтировании отдельно денежных притоков и оттоков.</w:t>
      </w:r>
    </w:p>
    <w:p w:rsidR="00BE4E0F" w:rsidRDefault="00BE4E0F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Внутренняя норма доходности (прибыли) </w:t>
      </w:r>
      <w:r>
        <w:rPr>
          <w:sz w:val="28"/>
          <w:szCs w:val="28"/>
          <w:lang w:val="en-US"/>
        </w:rPr>
        <w:t>IRR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Internal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Rate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Return</w:t>
      </w:r>
      <w:r>
        <w:rPr>
          <w:sz w:val="28"/>
          <w:szCs w:val="28"/>
        </w:rPr>
        <w:t xml:space="preserve">). Под внутренней нормой доходности понимают такое значение ставки дисконтирования, при котором </w:t>
      </w:r>
      <w:r>
        <w:rPr>
          <w:sz w:val="28"/>
          <w:szCs w:val="28"/>
          <w:lang w:val="en-US"/>
        </w:rPr>
        <w:t>NPV</w:t>
      </w:r>
      <w:r>
        <w:rPr>
          <w:sz w:val="28"/>
          <w:szCs w:val="28"/>
        </w:rPr>
        <w:t xml:space="preserve"> проекта равен нулю, т.е. чистый дисконтированный (приведенный) доход равен размеру инвестиций или иными словами - обеспечивает окупаемость проекта.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sz w:val="28"/>
          <w:szCs w:val="28"/>
          <w:lang w:val="en-US"/>
        </w:rPr>
        <w:t>IRR</w:t>
      </w:r>
      <w:r>
        <w:rPr>
          <w:sz w:val="28"/>
          <w:szCs w:val="28"/>
        </w:rPr>
        <w:t xml:space="preserve"> &gt;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, то проект следует принять;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sz w:val="28"/>
          <w:szCs w:val="28"/>
          <w:lang w:val="en-US"/>
        </w:rPr>
        <w:t>IRR</w:t>
      </w:r>
      <w:r>
        <w:rPr>
          <w:sz w:val="28"/>
          <w:szCs w:val="28"/>
        </w:rPr>
        <w:t xml:space="preserve"> &lt;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, то проект следует отвергнуть;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>
        <w:rPr>
          <w:sz w:val="28"/>
          <w:szCs w:val="28"/>
          <w:lang w:val="en-US"/>
        </w:rPr>
        <w:t>IRR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, то проект не является ни прибыльным, ни убыточным.</w:t>
      </w:r>
    </w:p>
    <w:p w:rsidR="00BE4E0F" w:rsidRDefault="00BE4E0F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Дисконтированный срок окупаемости </w:t>
      </w:r>
      <w:r>
        <w:rPr>
          <w:sz w:val="28"/>
          <w:szCs w:val="28"/>
          <w:lang w:val="en-US"/>
        </w:rPr>
        <w:t>DPP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Discounted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Payback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Period</w:t>
      </w:r>
      <w:r>
        <w:rPr>
          <w:sz w:val="28"/>
          <w:szCs w:val="28"/>
        </w:rPr>
        <w:t>) показывает продолжительность периода от начального момента до момента окупаемости с учетом дисконтирования, т.е. до момента появления чистого дисконтированного дохода (</w:t>
      </w:r>
      <w:r>
        <w:rPr>
          <w:sz w:val="28"/>
          <w:szCs w:val="28"/>
          <w:lang w:val="en-US"/>
        </w:rPr>
        <w:t>NPV</w:t>
      </w:r>
      <w:r>
        <w:rPr>
          <w:sz w:val="28"/>
          <w:szCs w:val="28"/>
        </w:rPr>
        <w:t>).</w:t>
      </w:r>
    </w:p>
    <w:p w:rsidR="00BE4E0F" w:rsidRDefault="00BE4E0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Данный метод, по мнению аналитиков, дает очень наглядную и полезную информацию и позволяет оценить рискованность проекта (менее рискованным считается проект с меньшим сроком окупаемости).</w:t>
      </w:r>
    </w:p>
    <w:p w:rsidR="00BE4E0F" w:rsidRDefault="00BE4E0F">
      <w:pPr>
        <w:spacing w:line="360" w:lineRule="auto"/>
        <w:ind w:firstLine="709"/>
        <w:jc w:val="center"/>
        <w:rPr>
          <w:color w:val="FFFFFF"/>
          <w:sz w:val="28"/>
          <w:szCs w:val="28"/>
        </w:rPr>
      </w:pPr>
      <w:proofErr w:type="gramStart"/>
      <w:r>
        <w:rPr>
          <w:color w:val="FFFFFF"/>
          <w:sz w:val="28"/>
          <w:szCs w:val="28"/>
        </w:rPr>
        <w:t>гостиничный</w:t>
      </w:r>
      <w:proofErr w:type="gramEnd"/>
      <w:r>
        <w:rPr>
          <w:color w:val="FFFFFF"/>
          <w:sz w:val="28"/>
          <w:szCs w:val="28"/>
        </w:rPr>
        <w:t xml:space="preserve"> оценка инвестиция привлекательность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Характеристика рисков инвестиционной деятельности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нестабильной, быстро меняющейся ситуации необходимо учитывать все возможные последствия от изменений конъюнктуры рынка, в том числе от действий конкурентов. Высокая степень риска приводит к необходимости поиска путей искусственного снижения возможных последствий от его воздействия на изменение условий реализации инвестиционного проекта. Поэтому основное назначение анализа риска состоит в том, чтобы обеспечить участников проекта информацией, необходимой для принятия соответствующих решений, и предусмотреть меры по защите возможных потерь.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методических рекомендациях по оценке эффективности инвестиционных проектов оговаривается, что в величине поправки на риски в общем случае учитываются три вида рисков, связанных с реализацией инвестиционного проекта: </w:t>
      </w:r>
      <w:proofErr w:type="spellStart"/>
      <w:r>
        <w:rPr>
          <w:sz w:val="28"/>
          <w:szCs w:val="28"/>
        </w:rPr>
        <w:t>страновой</w:t>
      </w:r>
      <w:proofErr w:type="spellEnd"/>
      <w:r>
        <w:rPr>
          <w:sz w:val="28"/>
          <w:szCs w:val="28"/>
        </w:rPr>
        <w:t xml:space="preserve"> риск; риск ненадежности участников проекта; риск неполучения предусмотренных проектом доходов.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Страновой</w:t>
      </w:r>
      <w:proofErr w:type="spellEnd"/>
      <w:r>
        <w:rPr>
          <w:sz w:val="28"/>
          <w:szCs w:val="28"/>
        </w:rPr>
        <w:t xml:space="preserve"> риск зависит от политико-экономической стабильности страны, в связи с этим его можно подразделить на экономический и политический риски.</w:t>
      </w:r>
      <w:proofErr w:type="gramEnd"/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Экономический риск может быть вызван неблагоприятными изменениями в экономической сфере страны. Основными факторами экономического риска, учитываемыми иностранными инвесторами при желании работать в определенной стране, являются: масштабы экономики, реальные темпы экономического роста, ставки налогообложения, уровень инфляции, внешний </w:t>
      </w:r>
      <w:r>
        <w:rPr>
          <w:sz w:val="28"/>
          <w:szCs w:val="28"/>
        </w:rPr>
        <w:lastRenderedPageBreak/>
        <w:t>долг, платежный баланс, ставка рефинансирования, доход на душу населения и другие.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Политический риск, как правило, связан с последствиями изменения политической ситуации в стране. К политическим рискам относят: политические потрясения, непредвиденное изменение законодательства и другие</w:t>
      </w:r>
      <w:proofErr w:type="gramStart"/>
      <w:r>
        <w:rPr>
          <w:sz w:val="28"/>
          <w:szCs w:val="28"/>
        </w:rPr>
        <w:t xml:space="preserve">. </w:t>
      </w:r>
      <w:proofErr w:type="gramEnd"/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) Риск ненадежности участников проекта обычно усматривается в возможности непредвиденного прекращения реализации проекта, обусловленного: нецелевым расходованием средств, предназначенных для инвестирования в данный проект или для создания финансовых резервов, необходимых для реализации проекта; финансовой неустойчивостью фирмы, реализующей проект; недобросовестностью, неплатежеспособностью, юридической недееспособностью других участников проекта.</w:t>
      </w:r>
      <w:proofErr w:type="gramEnd"/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)</w:t>
      </w:r>
      <w:r>
        <w:rPr>
          <w:sz w:val="28"/>
          <w:szCs w:val="28"/>
        </w:rPr>
        <w:tab/>
        <w:t>Риск неполучения предусмотренных проектом доходов снижается: при получении дополнительной информации о реализуемости и эффективности новой технологии, о запасах полезных ископаемых и т.д.; при наличии представительных маркетинговых исследований, подтверждающих правильность принятых в проекте величин спроса и цен и их сезонную динамику; а также при наличии в проектной документации на стадии освоения проекта организации производства.</w:t>
      </w:r>
      <w:proofErr w:type="gramEnd"/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2. Оценка инвестиционной привлекательности проекта по созданию гостиничного комплекса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.1 Характеристика проекта по созданию гостиничного комплекса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ЗАО «Чемпион» в текущем году, учитывая сложившиеся тенденции развития рынка услуг, приняло решение о создании в городе Санкт-Петербурге гостиничного комплекса на 60 мест. Для этого предполагается осуществить реконструкцию имеющегося здания, остаточная стоимость которого на текущий день составляет 6 251 873 рубля.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необходимого оборудования и проведение проектных и строительно-монтажных работ планируется осуществить за счет получения долгосрочного кредита в размере 150 миллионов рублей на срок 6 лет.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рассматривались следующие условия кредитования: погашение кредита - равными годовыми платежами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4 лет, начиная со второго года после пуска проекта в эксплуатацию; процентная ставка - 12% годовых; отсрочка выплаты процентов (льготный период) - 1 год; оплата страховки - разовый единовременный платеж в размере 1% от суммы кредита.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эти деньги планируется осуществить следующие инвестиционные вложения (табл.1):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 Потребность инвестиционного проекта в капитале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6292"/>
        <w:gridCol w:w="2091"/>
      </w:tblGrid>
      <w:tr w:rsidR="00BE4E0F"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 затрат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Стоимость, в руб.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НДС 18%) </w:t>
            </w:r>
          </w:p>
        </w:tc>
      </w:tr>
      <w:tr w:rsidR="00BE4E0F"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Проектные работы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8 134 500</w:t>
            </w:r>
          </w:p>
        </w:tc>
      </w:tr>
      <w:tr w:rsidR="00BE4E0F"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реконструкции существующего здания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62 835 000</w:t>
            </w:r>
          </w:p>
        </w:tc>
      </w:tr>
      <w:tr w:rsidR="00BE4E0F"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 подводка сетей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46 875 000</w:t>
            </w:r>
          </w:p>
        </w:tc>
      </w:tr>
      <w:tr w:rsidR="00BE4E0F"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оборудование для гостиницы, включая предметы интерьера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36 184 500</w:t>
            </w:r>
          </w:p>
        </w:tc>
      </w:tr>
    </w:tbl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приобрести для гостиничного комплекса следующий инвентарь </w:t>
      </w:r>
      <w:r>
        <w:rPr>
          <w:sz w:val="28"/>
          <w:szCs w:val="28"/>
        </w:rPr>
        <w:lastRenderedPageBreak/>
        <w:t>(табл.2)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 Потребность инвестиционного проекта в инвентаре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3760"/>
        <w:gridCol w:w="2160"/>
        <w:gridCol w:w="2207"/>
      </w:tblGrid>
      <w:tr w:rsidR="00BE4E0F"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инвентаря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в инвентаре (в комплектах на место)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одного  комплекта, без НДС, руб.</w:t>
            </w:r>
          </w:p>
        </w:tc>
      </w:tr>
      <w:tr w:rsidR="00BE4E0F"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Постельное белье со сроком службы до 1 года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</w:tr>
      <w:tr w:rsidR="00BE4E0F"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Постельное белье со сроком службы до 5 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</w:p>
        </w:tc>
      </w:tr>
      <w:tr w:rsidR="00BE4E0F"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Санитарно-гигиенические средства многоразового использования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</w:tbl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обслуживания гостиницы планируется нанять следующие категории персонала (табл.3)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3 Планируемые расходы на оплату труда работников гостиничного комплекса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1"/>
        <w:gridCol w:w="1772"/>
        <w:gridCol w:w="3353"/>
      </w:tblGrid>
      <w:tr w:rsidR="00BE4E0F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персонала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Месячный оклад работника, руб.</w:t>
            </w:r>
          </w:p>
        </w:tc>
      </w:tr>
      <w:tr w:rsidR="00BE4E0F">
        <w:tc>
          <w:tcPr>
            <w:tcW w:w="8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Основной производственный персонал:</w:t>
            </w:r>
          </w:p>
        </w:tc>
      </w:tr>
      <w:tr w:rsidR="00BE4E0F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горничная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</w:tr>
      <w:tr w:rsidR="00BE4E0F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портье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</w:tr>
      <w:tr w:rsidR="00BE4E0F">
        <w:tc>
          <w:tcPr>
            <w:tcW w:w="8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Руководители, специалисты и служащие:</w:t>
            </w:r>
          </w:p>
        </w:tc>
      </w:tr>
      <w:tr w:rsidR="00BE4E0F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Директор гостиницы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</w:tr>
      <w:tr w:rsidR="00BE4E0F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Главный бухгалтер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</w:p>
        </w:tc>
      </w:tr>
      <w:tr w:rsidR="00BE4E0F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старшая горничная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</w:tr>
      <w:tr w:rsidR="00BE4E0F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прачка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</w:tr>
      <w:tr w:rsidR="00BE4E0F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кладовщик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BE4E0F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медицинская сестра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BE4E0F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уборщица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BE4E0F"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водитель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</w:p>
        </w:tc>
      </w:tr>
    </w:tbl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Планируется, что затраты гостиничного комплекса на энергоресурсы будут следующие (табл.4)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4 Планируемые расходы гостиничного комплекса на энергоресурсы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3171"/>
        <w:gridCol w:w="4140"/>
      </w:tblGrid>
      <w:tr w:rsidR="00BE4E0F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расхода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Среднегодовые затраты без НДС, в тыс. руб. </w:t>
            </w:r>
          </w:p>
        </w:tc>
      </w:tr>
      <w:tr w:rsidR="00BE4E0F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151,20</w:t>
            </w:r>
          </w:p>
        </w:tc>
      </w:tr>
      <w:tr w:rsidR="00BE4E0F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(холодная)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58,36</w:t>
            </w:r>
          </w:p>
        </w:tc>
      </w:tr>
      <w:tr w:rsidR="00BE4E0F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(горячая)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89,30</w:t>
            </w:r>
          </w:p>
        </w:tc>
      </w:tr>
      <w:tr w:rsidR="00BE4E0F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219,28</w:t>
            </w:r>
          </w:p>
        </w:tc>
      </w:tr>
    </w:tbl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полной себестоимости услуги были учтены следующие факторы: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потребление санитарно-гигиенических средств одноразового применения - 388,8 тыс. руб. в год без НДС;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списания на издержки производства затрат по приобретенному хозяйственному инвентарю со сроком службы до 1 года для позиций: «постельное белье со сроком службы до 1 года», «санитарно-гигиенические средства многоразового использования» следующая: 100% затрат списываются ежегодно, так как период полного оборота указанных предметов инвентаря составляет 1 год;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списания на издержки производства затрат по приобретенному хозяйственному инвентарю для позиций: «постельное белье со сроком службы до 5 лет» - 50% затрат списываются при вводе актива в эксплуатацию, оставшиеся 50% стоимости указанных предметов инвентаря списываются в 5-й год их эксплуатации;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общепроизводственные расходы составляют 3% от величины прямых затрат;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прочие общепроизводственные расходы определены в размере 30 000 рублей в месяц без НДС;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срок службы принимаемых </w:t>
      </w:r>
      <w:proofErr w:type="gramStart"/>
      <w:r>
        <w:rPr>
          <w:sz w:val="28"/>
          <w:szCs w:val="28"/>
        </w:rPr>
        <w:t>в эксплуатацию постоянных активов определен в соответствии с действующими в РФ нормами амортизационных отчислений на соответствующие виды</w:t>
      </w:r>
      <w:proofErr w:type="gramEnd"/>
      <w:r>
        <w:rPr>
          <w:sz w:val="28"/>
          <w:szCs w:val="28"/>
        </w:rPr>
        <w:t xml:space="preserve"> основных средств (для зданий - 50 лет, для </w:t>
      </w:r>
      <w:r>
        <w:rPr>
          <w:sz w:val="28"/>
          <w:szCs w:val="28"/>
        </w:rPr>
        <w:lastRenderedPageBreak/>
        <w:t>оборудования - 10 лет);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учетной политике организации предусмотрено использование предприятием общей системы налогообложения.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маркетингового исследования цена за проживание 1 человека в день установлена в размере 2 500 руб. без НДС. При этом было выявлено, что предполагаемая загрузка номерного фонда составит 90% в год.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этаже комплекса имеются свободные торговые площади в размере 100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которые решено сдать в аренду по цене 300 руб./м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в месяц без НДС.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.2 Расчет </w:t>
      </w:r>
      <w:proofErr w:type="gramStart"/>
      <w:r>
        <w:rPr>
          <w:sz w:val="28"/>
          <w:szCs w:val="28"/>
        </w:rPr>
        <w:t>показателей эффективности оценки инвестиционной привлекательности проекта</w:t>
      </w:r>
      <w:proofErr w:type="gramEnd"/>
      <w:r>
        <w:rPr>
          <w:sz w:val="28"/>
          <w:szCs w:val="28"/>
        </w:rPr>
        <w:t xml:space="preserve"> по созданию гостиничного комплекса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инвестиционной привлекательности проекта начнем с расчетов прогноза чистой прибыли, а также собственного денежного потока.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прогноза чистой прибыли проекта, при условии его существования в течение 10 лет, рассчитаем доходы и расходы проекта за указанный период по годам.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Выручка от основного вида деятельности составит: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500 руб.*60 мест*0,9 (загрузка номеров) = 135 000 руб./день, что за год составит 135 000 руб.*365 дней = 49 275 000 руб.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Выручка от сдачи в аренду свободных торговых площадей: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*300 руб./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= 30 000 руб./месяц, что за год составит 30 000 руб.*12 месяцев = 360 000 руб.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 ежегодный доход от проекта составит 49 635 000 руб.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заработную плату будут следующие (табл.5):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5 Расходы на заработную плату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14"/>
        <w:gridCol w:w="2230"/>
        <w:gridCol w:w="992"/>
      </w:tblGrid>
      <w:tr w:rsidR="00BE4E0F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персонала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Месячный оклад,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Год, руб.</w:t>
            </w:r>
          </w:p>
        </w:tc>
      </w:tr>
      <w:tr w:rsidR="00BE4E0F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горничная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</w:t>
            </w:r>
          </w:p>
        </w:tc>
      </w:tr>
      <w:tr w:rsidR="00BE4E0F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портье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</w:t>
            </w:r>
          </w:p>
        </w:tc>
      </w:tr>
      <w:tr w:rsidR="00BE4E0F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Директор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</w:t>
            </w:r>
          </w:p>
        </w:tc>
      </w:tr>
      <w:tr w:rsidR="00BE4E0F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Главный бухгалтер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132 000</w:t>
            </w:r>
          </w:p>
        </w:tc>
      </w:tr>
      <w:tr w:rsidR="00BE4E0F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старшая горничная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84 000</w:t>
            </w:r>
          </w:p>
        </w:tc>
      </w:tr>
      <w:tr w:rsidR="00BE4E0F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прачка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</w:t>
            </w:r>
          </w:p>
        </w:tc>
      </w:tr>
      <w:tr w:rsidR="00BE4E0F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кладовщик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BE4E0F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медсестра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</w:tr>
      <w:tr w:rsidR="00BE4E0F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уборщица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72 000</w:t>
            </w:r>
          </w:p>
        </w:tc>
      </w:tr>
      <w:tr w:rsidR="00BE4E0F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водитель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54 000</w:t>
            </w:r>
          </w:p>
        </w:tc>
      </w:tr>
      <w:tr w:rsidR="00BE4E0F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858 000</w:t>
            </w:r>
          </w:p>
        </w:tc>
      </w:tr>
    </w:tbl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Страховые выплаты составят 26% - 223 080 руб.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энергоресурсы гостиничного комплекса в год составят: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 руб.+58 360 руб.+89 300 руб.+219 280 руб.=518 140 руб.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инвентарь с учетом методики списания затрат на издержки производства составят: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Постельное белье со сроком службы до 1 года - 3 комплекта*60 мест*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*1 500 руб. = 270 000 руб. в год;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Постельное белье со сроком службы до 5 лет - 2 комплекта*60 мест*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*8 000 руб. / 2 = 480 000 руб. в 1, 5, 6 и 10 годы;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Санитарно-гигиенические средства многоразового использования - 4 комплекта*60 мест*1 000 руб. = 240 000 руб.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Потребление санитарно-гигиенических средств одноразового применения составляет 388 800 руб. в год.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вычисления амортизационных отчисления рассчитаем стоимость основных средств без НДС. По зданию она составит: 6 251 873 руб. + (8 134 500 руб. + 62 835 000 руб. + 46 875 000 руб.) / 118*100 = 106 120 093 руб., по оборудованию - 36 184 500 руб./118*100=30 664 831 руб.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Амортизационные отчисления по зданию составят 2% в год от его стоимости: 106 120 093 руб.*0.02=2 122 402 руб. Сумма налога на имущество по </w:t>
      </w:r>
      <w:r>
        <w:rPr>
          <w:sz w:val="28"/>
          <w:szCs w:val="28"/>
        </w:rPr>
        <w:lastRenderedPageBreak/>
        <w:t>зданию составит (табл.6):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6 Суммы выплат по налогу на имущество для здания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670"/>
        <w:gridCol w:w="2405"/>
        <w:gridCol w:w="1902"/>
        <w:gridCol w:w="1984"/>
        <w:gridCol w:w="1940"/>
      </w:tblGrid>
      <w:tr w:rsidR="00BE4E0F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на начало года, руб.</w:t>
            </w:r>
          </w:p>
        </w:tc>
        <w:tc>
          <w:tcPr>
            <w:tcW w:w="19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годовой амортизации, руб.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на конец года, руб.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налога на имущество (2,2%), руб.</w:t>
            </w:r>
          </w:p>
        </w:tc>
      </w:tr>
      <w:tr w:rsidR="00BE4E0F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106 120 093.00</w:t>
            </w:r>
          </w:p>
        </w:tc>
        <w:tc>
          <w:tcPr>
            <w:tcW w:w="19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2 122 401.86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103 997 691.14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2 287 949.21</w:t>
            </w:r>
          </w:p>
        </w:tc>
      </w:tr>
      <w:tr w:rsidR="00BE4E0F"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103 997 691.14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2 122 401.86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101 875 289.28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2 241 256.36</w:t>
            </w:r>
          </w:p>
        </w:tc>
      </w:tr>
      <w:tr w:rsidR="00BE4E0F"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101 875 289.28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2 122 401.86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99 752 887.42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2 194 563.52</w:t>
            </w:r>
          </w:p>
        </w:tc>
      </w:tr>
      <w:tr w:rsidR="00BE4E0F"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99 752 887.42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2 122 401.86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97 630 485.56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2 147 870.68</w:t>
            </w:r>
          </w:p>
        </w:tc>
      </w:tr>
      <w:tr w:rsidR="00BE4E0F"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97 630 485.56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2 122 401.86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95 508 083.70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2 101 177.84</w:t>
            </w:r>
          </w:p>
        </w:tc>
      </w:tr>
      <w:tr w:rsidR="00BE4E0F"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95 508 083.70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2 122 401.86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93 385 681.84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2 054 485.00</w:t>
            </w:r>
          </w:p>
        </w:tc>
      </w:tr>
      <w:tr w:rsidR="00BE4E0F"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93 385 681.84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2 122 401.86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91 263 279.98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2 007 792.16</w:t>
            </w:r>
          </w:p>
        </w:tc>
      </w:tr>
      <w:tr w:rsidR="00BE4E0F"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91 263 279.98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2 122 401.86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89 140 878.12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1 961 099.32</w:t>
            </w:r>
          </w:p>
        </w:tc>
      </w:tr>
      <w:tr w:rsidR="00BE4E0F"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89 140 878.12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2 122 401.86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87 018 476.26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1 914 406.48</w:t>
            </w:r>
          </w:p>
        </w:tc>
      </w:tr>
      <w:tr w:rsidR="00BE4E0F"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87 018 476.26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2 122 401.86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84 896 074.40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1 867 713.64</w:t>
            </w:r>
          </w:p>
        </w:tc>
      </w:tr>
    </w:tbl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Амортизационные отчисления по оборудованию составят 10% в год - 3066483 руб. Сумма налога на имущество по оборудованию составит (табл.7):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7 Суммы выплат по налогу на имущество для оборудования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661"/>
        <w:gridCol w:w="2048"/>
        <w:gridCol w:w="2200"/>
        <w:gridCol w:w="2300"/>
        <w:gridCol w:w="1940"/>
      </w:tblGrid>
      <w:tr w:rsidR="00BE4E0F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04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на начало года, руб.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годовой амортизации, руб.</w:t>
            </w:r>
          </w:p>
        </w:tc>
        <w:tc>
          <w:tcPr>
            <w:tcW w:w="23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на конец года, руб.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налога на имущество (2,2%), руб.</w:t>
            </w:r>
          </w:p>
        </w:tc>
      </w:tr>
      <w:tr w:rsidR="00BE4E0F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30 664 831.00</w:t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3 066 483.10</w:t>
            </w:r>
          </w:p>
        </w:tc>
        <w:tc>
          <w:tcPr>
            <w:tcW w:w="2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27 598 347.90</w:t>
            </w:r>
          </w:p>
        </w:tc>
        <w:tc>
          <w:tcPr>
            <w:tcW w:w="1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607 163.65</w:t>
            </w:r>
          </w:p>
        </w:tc>
      </w:tr>
      <w:tr w:rsidR="00BE4E0F"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27 598 347.90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3 066 483.10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24 531 864.80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539 701.03</w:t>
            </w:r>
          </w:p>
        </w:tc>
      </w:tr>
      <w:tr w:rsidR="00BE4E0F"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24 531 864.80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3 066 483.10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21 465 381.70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472 238.40</w:t>
            </w:r>
          </w:p>
        </w:tc>
      </w:tr>
      <w:tr w:rsidR="00BE4E0F"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21 465 381.70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3 066 483.10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18 398 898.60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404 775.77</w:t>
            </w:r>
          </w:p>
        </w:tc>
      </w:tr>
      <w:tr w:rsidR="00BE4E0F"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18 398 898.60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3 066 483.10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15 332 415.50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337 313.14</w:t>
            </w:r>
          </w:p>
        </w:tc>
      </w:tr>
      <w:tr w:rsidR="00BE4E0F"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15 332 415.50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3 066 483.10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12 265 932.40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269 850.51</w:t>
            </w:r>
          </w:p>
        </w:tc>
      </w:tr>
      <w:tr w:rsidR="00BE4E0F"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12 265 932.40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3 066 483.10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9 199 449.30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202 387.88</w:t>
            </w:r>
          </w:p>
        </w:tc>
      </w:tr>
      <w:tr w:rsidR="00BE4E0F"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9 199 449.30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3 066 483.10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6 132 966.20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134 925.26</w:t>
            </w:r>
          </w:p>
        </w:tc>
      </w:tr>
      <w:tr w:rsidR="00BE4E0F"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6 132 966.20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3 066 483.10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3 066 483.10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67 462.63</w:t>
            </w:r>
          </w:p>
        </w:tc>
      </w:tr>
      <w:tr w:rsidR="00BE4E0F"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3 066 483.10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3 066 483.10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</w:tbl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процентов по кредиту составят (табл. 8):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8 Выплаты по кредиту по годам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111"/>
        <w:gridCol w:w="3827"/>
      </w:tblGrid>
      <w:tr w:rsidR="00BE4E0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по основной сумме долга, 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выплаты %% по кредиту, тыс. руб.</w:t>
            </w:r>
          </w:p>
        </w:tc>
      </w:tr>
      <w:tr w:rsidR="00BE4E0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2-ой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</w:tr>
      <w:tr w:rsidR="00BE4E0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3-ий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BE4E0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4-ый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BE4E0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5-ый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37 500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BE4E0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6-ой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BE4E0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108 000</w:t>
            </w:r>
          </w:p>
        </w:tc>
      </w:tr>
    </w:tbl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Страховка по кредиту составит 1% от суммы кредита - 150 000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.*0.01 = 1 500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Общехозяйственные расходы определены в размере 30 000 руб. в месяц, что в год составит 30 000 руб.* 12 = 360 000 руб.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полученных расчетов составляем таблицу прогноза чистой прибыли и собственного денежного потока инвестиционного проекта (приложение 1).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Рассчитаем чистый дисконтированный доход, приносимый собственным капиталом при условии, что стоимость капитала, определенная кумулятивным методом, составит 18% в год (табл.9).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9 Расчет чистого дисконтированного дохода проекта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00"/>
        <w:gridCol w:w="1035"/>
        <w:gridCol w:w="1914"/>
        <w:gridCol w:w="3126"/>
      </w:tblGrid>
      <w:tr w:rsidR="00BE4E0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потоки, тыс. руб.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Дисконт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Приведенный денежный поток, тыс. руб.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приведенных денежных потоков нарастающим итогом, тыс. руб.</w:t>
            </w:r>
          </w:p>
        </w:tc>
      </w:tr>
      <w:tr w:rsidR="00BE4E0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-150 000,00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-150 000,00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-150 000,00</w:t>
            </w:r>
          </w:p>
        </w:tc>
      </w:tr>
      <w:tr w:rsidR="00BE4E0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29 976,78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25 404,05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-124 595,95</w:t>
            </w:r>
          </w:p>
        </w:tc>
      </w:tr>
      <w:tr w:rsidR="00BE4E0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-30 604,64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-21 979,77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-146 575,72</w:t>
            </w:r>
          </w:p>
        </w:tc>
      </w:tr>
      <w:tr w:rsidR="00BE4E0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-16 110,57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-9 805,39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-156 381,11</w:t>
            </w:r>
          </w:p>
        </w:tc>
      </w:tr>
      <w:tr w:rsidR="00BE4E0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-16 018,98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-8 262,41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-164 643,52</w:t>
            </w:r>
          </w:p>
        </w:tc>
      </w:tr>
      <w:tr w:rsidR="00BE4E0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-16 317,96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-7 132,73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-171 776,25</w:t>
            </w:r>
          </w:p>
        </w:tc>
      </w:tr>
      <w:tr w:rsidR="00BE4E0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21 276,10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7 881,34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-163 894,91</w:t>
            </w:r>
          </w:p>
        </w:tc>
      </w:tr>
      <w:tr w:rsidR="00BE4E0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36 165,69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11 353,31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-152 541,60</w:t>
            </w:r>
          </w:p>
        </w:tc>
      </w:tr>
      <w:tr w:rsidR="00BE4E0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36 259,75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9 646,78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-142895,12</w:t>
            </w:r>
          </w:p>
        </w:tc>
      </w:tr>
      <w:tr w:rsidR="00BE4E0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36 353,81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8 196,19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-134 698,93</w:t>
            </w:r>
          </w:p>
        </w:tc>
      </w:tr>
      <w:tr w:rsidR="00BE4E0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36 052,36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6 888,33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E0F" w:rsidRDefault="00BE4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-127 810,61</w:t>
            </w:r>
          </w:p>
        </w:tc>
      </w:tr>
    </w:tbl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br w:type="page"/>
      </w:r>
      <w:r>
        <w:rPr>
          <w:sz w:val="28"/>
          <w:szCs w:val="28"/>
          <w:lang w:val="en-US"/>
        </w:rPr>
        <w:lastRenderedPageBreak/>
        <w:t>NPV = -127 810</w:t>
      </w:r>
      <w:proofErr w:type="gramStart"/>
      <w:r>
        <w:rPr>
          <w:sz w:val="28"/>
          <w:szCs w:val="28"/>
        </w:rPr>
        <w:t>,61</w:t>
      </w:r>
      <w:proofErr w:type="gramEnd"/>
      <w:r>
        <w:rPr>
          <w:sz w:val="28"/>
          <w:szCs w:val="28"/>
        </w:rPr>
        <w:t xml:space="preserve"> тыс. руб.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рентабельности проекта </w:t>
      </w:r>
      <w:r>
        <w:rPr>
          <w:sz w:val="28"/>
          <w:szCs w:val="28"/>
          <w:lang w:val="en-US"/>
        </w:rPr>
        <w:t>PI</w:t>
      </w:r>
      <w:r>
        <w:rPr>
          <w:sz w:val="28"/>
          <w:szCs w:val="28"/>
        </w:rPr>
        <w:t xml:space="preserve"> = 22</w:t>
      </w:r>
      <w:r w:rsidRPr="00550FB6">
        <w:rPr>
          <w:sz w:val="28"/>
          <w:szCs w:val="28"/>
        </w:rPr>
        <w:t xml:space="preserve"> </w:t>
      </w:r>
      <w:r>
        <w:rPr>
          <w:sz w:val="28"/>
          <w:szCs w:val="28"/>
        </w:rPr>
        <w:t>189,39 тыс. руб./ 150 000,00 тыс. руб. = 0,148.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Внутренняя норма доходности </w:t>
      </w:r>
      <w:r>
        <w:rPr>
          <w:sz w:val="28"/>
          <w:szCs w:val="28"/>
          <w:lang w:val="en-US"/>
        </w:rPr>
        <w:t>IRR</w:t>
      </w:r>
      <w:r>
        <w:rPr>
          <w:sz w:val="28"/>
          <w:szCs w:val="28"/>
        </w:rPr>
        <w:t xml:space="preserve">, при которой </w:t>
      </w:r>
      <w:r>
        <w:rPr>
          <w:sz w:val="28"/>
          <w:szCs w:val="28"/>
          <w:lang w:val="en-US"/>
        </w:rPr>
        <w:t>NVP</w:t>
      </w:r>
      <w:r>
        <w:rPr>
          <w:sz w:val="28"/>
          <w:szCs w:val="28"/>
        </w:rPr>
        <w:t xml:space="preserve"> было бы равно нулю, составит 11%. 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дисконтированный срок окупаемости не представляется возможным, так как сумма приведенных денежных потоков отрицательная.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tabs>
          <w:tab w:val="left" w:pos="114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>Составление бизнес плана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полученных результатов, можно сделать следующие выводы об инвестиционной привлекательности проекта:</w:t>
      </w:r>
    </w:p>
    <w:p w:rsidR="00BE4E0F" w:rsidRDefault="00BE4E0F">
      <w:pPr>
        <w:tabs>
          <w:tab w:val="left" w:pos="1068"/>
        </w:tabs>
        <w:spacing w:line="360" w:lineRule="auto"/>
        <w:ind w:firstLine="709"/>
        <w:jc w:val="both"/>
        <w:rPr>
          <w:sz w:val="28"/>
          <w:szCs w:val="28"/>
        </w:rPr>
      </w:pPr>
      <w:r w:rsidRPr="00550FB6">
        <w:rPr>
          <w:sz w:val="28"/>
          <w:szCs w:val="28"/>
        </w:rPr>
        <w:t>1)</w:t>
      </w:r>
      <w:r w:rsidRPr="00550FB6">
        <w:rPr>
          <w:sz w:val="28"/>
          <w:szCs w:val="28"/>
        </w:rPr>
        <w:tab/>
      </w:r>
      <w:r>
        <w:rPr>
          <w:sz w:val="28"/>
          <w:szCs w:val="28"/>
          <w:lang w:val="en-US"/>
        </w:rPr>
        <w:t>NPV</w:t>
      </w:r>
      <w:r>
        <w:rPr>
          <w:sz w:val="28"/>
          <w:szCs w:val="28"/>
        </w:rPr>
        <w:t xml:space="preserve"> = -127</w:t>
      </w:r>
      <w:r w:rsidRPr="00550FB6">
        <w:rPr>
          <w:sz w:val="28"/>
          <w:szCs w:val="28"/>
        </w:rPr>
        <w:t xml:space="preserve"> </w:t>
      </w:r>
      <w:r>
        <w:rPr>
          <w:sz w:val="28"/>
          <w:szCs w:val="28"/>
        </w:rPr>
        <w:t>810,61 &lt; 0, что говорит об убыточности проекта;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Индекс рентабельности проекта </w:t>
      </w:r>
      <w:r>
        <w:rPr>
          <w:sz w:val="28"/>
          <w:szCs w:val="28"/>
          <w:lang w:val="en-US"/>
        </w:rPr>
        <w:t>PI</w:t>
      </w:r>
      <w:r>
        <w:rPr>
          <w:sz w:val="28"/>
          <w:szCs w:val="28"/>
        </w:rPr>
        <w:t xml:space="preserve"> = 0,148 &lt; 1, что также говорит о том, что проект нужно отвергнуть;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 w:rsidRPr="00550FB6">
        <w:rPr>
          <w:sz w:val="28"/>
          <w:szCs w:val="28"/>
        </w:rPr>
        <w:t>3)</w:t>
      </w:r>
      <w:r w:rsidRPr="00550FB6">
        <w:rPr>
          <w:sz w:val="28"/>
          <w:szCs w:val="28"/>
        </w:rPr>
        <w:tab/>
      </w:r>
      <w:r>
        <w:rPr>
          <w:sz w:val="28"/>
          <w:szCs w:val="28"/>
          <w:lang w:val="en-US"/>
        </w:rPr>
        <w:t>IRR</w:t>
      </w:r>
      <w:r>
        <w:rPr>
          <w:sz w:val="28"/>
          <w:szCs w:val="28"/>
        </w:rPr>
        <w:t xml:space="preserve"> проекта = 11% &lt; 18% - цена заемного капитала, что опять же говорит о том, что проект является убыточным;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Рассчитать же </w:t>
      </w:r>
      <w:r>
        <w:rPr>
          <w:sz w:val="28"/>
          <w:szCs w:val="28"/>
          <w:lang w:val="en-US"/>
        </w:rPr>
        <w:t>DPP</w:t>
      </w:r>
      <w:r>
        <w:rPr>
          <w:sz w:val="28"/>
          <w:szCs w:val="28"/>
        </w:rPr>
        <w:t>, как уже говорилось выше, не представляется возможным, что подтверждает выводы по первым трем показателям.</w:t>
      </w:r>
      <w:proofErr w:type="gramEnd"/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проект стал прибыльным, нужно:</w:t>
      </w:r>
    </w:p>
    <w:p w:rsidR="00BE4E0F" w:rsidRDefault="00BE4E0F">
      <w:pPr>
        <w:tabs>
          <w:tab w:val="left" w:pos="109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Пересмотреть условия кредита, а именно ставку и условия его возврата;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Рассмотреть возможные пути увеличения доходов,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за счет предоставления дополнительных услуг (буду думать еще) 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3. Инвестиции в природу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Любой финансовый кризис заставляет инвесторов в спешном порядке перетряхивать портфели активов, избавляясь от превратившихся в мусор ценных бумаг. И как только эта задача выполнена, а дно финансового спада пройдено, встает вопрос: чем заполнить образовавшуюся пустоту? Судя по действиям зарубежных правительств и финансовых институтов, все более популярным кандидатом в такой замещающий класс активов становятся отрасли, способные приносить прибыль пусть более низкую сегодня, но многообещающую в долгосрочной перспективе.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в статье газеты «Ведомости», написанной старшим советником программы по </w:t>
      </w:r>
      <w:proofErr w:type="spellStart"/>
      <w:r>
        <w:rPr>
          <w:sz w:val="28"/>
          <w:szCs w:val="28"/>
        </w:rPr>
        <w:t>экологизации</w:t>
      </w:r>
      <w:proofErr w:type="spellEnd"/>
      <w:r>
        <w:rPr>
          <w:sz w:val="28"/>
          <w:szCs w:val="28"/>
        </w:rPr>
        <w:t xml:space="preserve"> рынков и инвестиций </w:t>
      </w:r>
      <w:r>
        <w:rPr>
          <w:sz w:val="28"/>
          <w:szCs w:val="28"/>
          <w:lang w:val="en-US"/>
        </w:rPr>
        <w:t>WWF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</w:t>
      </w:r>
      <w:r>
        <w:rPr>
          <w:sz w:val="28"/>
          <w:szCs w:val="28"/>
        </w:rPr>
        <w:t xml:space="preserve">, «Природа не терпит пустоты» речь идет в первую очередь об инвестициях в проекты по повышению экологической и социальной устойчивости, особенно в сфере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, развития возобновляемых источников энергии и снижения выбросов парниковых газов. Эти начинания получают многомиллиардную государственную поддержку, в том числе в формате зеленой составляющей пакетов антикризисных мер, почти во всех странах «двадцатки» (за исключением Аргентины, Бразилии, Индии, Индонезии, России и Турции). Для частных инвестиций такая политика дает мультипликационный эффект. Кроме того, сектор «устойчивого развития» привлекателен и с точки зрения диверсификации рисков, так как его динамика в целом слабо совпадает с траекториями других популярных среди инвесторов классов активов, особенно драгметаллов и сырья.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говорится в статье со ссылкой на данные специализированного рейтингового агентства </w:t>
      </w:r>
      <w:proofErr w:type="spellStart"/>
      <w:r>
        <w:rPr>
          <w:sz w:val="28"/>
          <w:szCs w:val="28"/>
          <w:lang w:val="en-US"/>
        </w:rPr>
        <w:t>Vigeo</w:t>
      </w:r>
      <w:proofErr w:type="spellEnd"/>
      <w:r>
        <w:rPr>
          <w:sz w:val="28"/>
          <w:szCs w:val="28"/>
        </w:rPr>
        <w:t>, только в Европе число фондов ответственных инвестиций (</w:t>
      </w:r>
      <w:r>
        <w:rPr>
          <w:sz w:val="28"/>
          <w:szCs w:val="28"/>
          <w:lang w:val="en-US"/>
        </w:rPr>
        <w:t>green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social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ethical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funds</w:t>
      </w:r>
      <w:r>
        <w:rPr>
          <w:sz w:val="28"/>
          <w:szCs w:val="28"/>
        </w:rPr>
        <w:t xml:space="preserve">) выросло с июля 2008 г. по июнь 2009 г. </w:t>
      </w:r>
      <w:r>
        <w:rPr>
          <w:sz w:val="28"/>
          <w:szCs w:val="28"/>
        </w:rPr>
        <w:lastRenderedPageBreak/>
        <w:t xml:space="preserve">с 537 до 683, а стоимость устойчивых активов, находящихся под их управлением, - с 48,5 до 53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евро. О растущем внимании инвесторов к социально-экологическим вопросам также говорят два события конца января. </w:t>
      </w:r>
      <w:proofErr w:type="gramStart"/>
      <w:r>
        <w:rPr>
          <w:sz w:val="28"/>
          <w:szCs w:val="28"/>
        </w:rPr>
        <w:t>Руководство Комиссии США по финансовым рынкам (</w:t>
      </w:r>
      <w:r>
        <w:rPr>
          <w:sz w:val="28"/>
          <w:szCs w:val="28"/>
          <w:lang w:val="en-US"/>
        </w:rPr>
        <w:t>SEC</w:t>
      </w:r>
      <w:r>
        <w:rPr>
          <w:sz w:val="28"/>
          <w:szCs w:val="28"/>
        </w:rPr>
        <w:t xml:space="preserve">) проголосовало за введение обязательного требования ко всем публичным компаниям по раскрытию климатических рисков, связанных с их деятельностью, а директор распорядитель МВФ Доминик </w:t>
      </w:r>
      <w:proofErr w:type="spellStart"/>
      <w:r>
        <w:rPr>
          <w:sz w:val="28"/>
          <w:szCs w:val="28"/>
        </w:rPr>
        <w:t>Стросс</w:t>
      </w:r>
      <w:proofErr w:type="spellEnd"/>
      <w:r>
        <w:rPr>
          <w:sz w:val="28"/>
          <w:szCs w:val="28"/>
        </w:rPr>
        <w:t>-Кан заявил на Всемирном экономическом форуме в Давосе о создании в рамках МВФ зеленого фонда с ежегодным объемом финансирования проектов по сокращению выбросов парниковых газов в размере $100 млрд.</w:t>
      </w:r>
      <w:proofErr w:type="gramEnd"/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статьи обращает внимание на то, что для снижения рисков в сфере ответственных инвестиций создаются профессиональные объединения, в формате которых происходит обмен опытом и выравнивание игровой площадки. Наиболее влиятельными из них являются: Принципы Экватора (</w:t>
      </w:r>
      <w:r>
        <w:rPr>
          <w:sz w:val="28"/>
          <w:szCs w:val="28"/>
          <w:lang w:val="en-US"/>
        </w:rPr>
        <w:t>Equator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Principles</w:t>
      </w:r>
      <w:r>
        <w:rPr>
          <w:sz w:val="28"/>
          <w:szCs w:val="28"/>
        </w:rPr>
        <w:t>, около 70 крупнейших банков мира), Финансовая инициатива ЮНЕП (</w:t>
      </w:r>
      <w:r>
        <w:rPr>
          <w:sz w:val="28"/>
          <w:szCs w:val="28"/>
          <w:lang w:val="en-US"/>
        </w:rPr>
        <w:t>UNEP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</w:t>
      </w:r>
      <w:r>
        <w:rPr>
          <w:sz w:val="28"/>
          <w:szCs w:val="28"/>
        </w:rPr>
        <w:t>, почти 200 участников), Принципы ответственных инвестиций ООН (</w:t>
      </w:r>
      <w:r>
        <w:rPr>
          <w:sz w:val="28"/>
          <w:szCs w:val="28"/>
          <w:lang w:val="en-US"/>
        </w:rPr>
        <w:t>UN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</w:t>
      </w:r>
      <w:r>
        <w:rPr>
          <w:sz w:val="28"/>
          <w:szCs w:val="28"/>
        </w:rPr>
        <w:t xml:space="preserve">, свыше 510 инвесторов, под управлением которых находятся активы стоимостью более $18 </w:t>
      </w:r>
      <w:proofErr w:type="gramStart"/>
      <w:r>
        <w:rPr>
          <w:sz w:val="28"/>
          <w:szCs w:val="28"/>
        </w:rPr>
        <w:t>трлн</w:t>
      </w:r>
      <w:proofErr w:type="gramEnd"/>
      <w:r>
        <w:rPr>
          <w:sz w:val="28"/>
          <w:szCs w:val="28"/>
        </w:rPr>
        <w:t>), Глобальный договор ООН (</w:t>
      </w:r>
      <w:r>
        <w:rPr>
          <w:sz w:val="28"/>
          <w:szCs w:val="28"/>
          <w:lang w:val="en-US"/>
        </w:rPr>
        <w:t>UN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Global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Compact</w:t>
      </w:r>
      <w:r>
        <w:rPr>
          <w:sz w:val="28"/>
          <w:szCs w:val="28"/>
        </w:rPr>
        <w:t>, около 6700 организаций), Проект по раскрытию выбросов парниковых газов (</w:t>
      </w:r>
      <w:r>
        <w:rPr>
          <w:sz w:val="28"/>
          <w:szCs w:val="28"/>
          <w:lang w:val="en-US"/>
        </w:rPr>
        <w:t>CDP</w:t>
      </w:r>
      <w:r>
        <w:rPr>
          <w:sz w:val="28"/>
          <w:szCs w:val="28"/>
        </w:rPr>
        <w:t xml:space="preserve">, более 530 крупнейших европейских и прочих инвесторов, под управлением которых активы стоимостью $64 </w:t>
      </w:r>
      <w:proofErr w:type="gramStart"/>
      <w:r>
        <w:rPr>
          <w:sz w:val="28"/>
          <w:szCs w:val="28"/>
        </w:rPr>
        <w:t>трлн</w:t>
      </w:r>
      <w:proofErr w:type="gramEnd"/>
      <w:r>
        <w:rPr>
          <w:sz w:val="28"/>
          <w:szCs w:val="28"/>
        </w:rPr>
        <w:t>), Сеть инвесторов по климатическим рискам (</w:t>
      </w:r>
      <w:r>
        <w:rPr>
          <w:sz w:val="28"/>
          <w:szCs w:val="28"/>
          <w:lang w:val="en-US"/>
        </w:rPr>
        <w:t>INCR</w:t>
      </w:r>
      <w:r>
        <w:rPr>
          <w:sz w:val="28"/>
          <w:szCs w:val="28"/>
        </w:rPr>
        <w:t>, более 80 североамериканских инвесторов, под управлением которых активы общей стоимостью $8 трлн).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годы многократно вырос объем исследований, направленных на выявление зависимости между социально-экологическими характеристиками компаний и их доходностью. Исследования дают все больше оснований полагать, что взаимосвязь между этими показателями носит положительный </w:t>
      </w:r>
      <w:r>
        <w:rPr>
          <w:sz w:val="28"/>
          <w:szCs w:val="28"/>
        </w:rPr>
        <w:lastRenderedPageBreak/>
        <w:t>характер. Объясняется это в первую очередь - качеством общего управления компанией.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Инвесторам бывает довольно сложно отобрать для своего портфеля зеленые компании высшего калибра, они берут на вооружение прямо противоположный подход, отказывая в инвестициях компаниям с наихудшими социально-экологическими показателями. И именно по этой причине процесс </w:t>
      </w:r>
      <w:proofErr w:type="spellStart"/>
      <w:r>
        <w:rPr>
          <w:sz w:val="28"/>
          <w:szCs w:val="28"/>
        </w:rPr>
        <w:t>экологизации</w:t>
      </w:r>
      <w:proofErr w:type="spellEnd"/>
      <w:r>
        <w:rPr>
          <w:sz w:val="28"/>
          <w:szCs w:val="28"/>
        </w:rPr>
        <w:t xml:space="preserve"> инвесторов очень важен для России. Ведь наши предприятия, особенно с точки зрения </w:t>
      </w:r>
      <w:proofErr w:type="spellStart"/>
      <w:r>
        <w:rPr>
          <w:sz w:val="28"/>
          <w:szCs w:val="28"/>
        </w:rPr>
        <w:t>энергозатрат</w:t>
      </w:r>
      <w:proofErr w:type="spellEnd"/>
      <w:r>
        <w:rPr>
          <w:sz w:val="28"/>
          <w:szCs w:val="28"/>
        </w:rPr>
        <w:t xml:space="preserve"> на единицу продукции, отличает весьма слабая экологическая практика.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Конечно, зеленые инвестиции, как нельзя более отвечающие задачам модернизации отечественной экономики и охраны здоровья россиян, не обязательно должны осуществляться из-за рубежа. Но пока финансовые организации России, готовые кредитовать или вкладываться в проекты социально-экологической направленности, можно пересчитать по пальцам.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как это не парадоксально, с точки зрения тех же инвесторов чем хуже сегодня ситуация в России, тем лучше - поскольку потенциал снижения вредного воздействия и соответствующих рисков в этом случае гораздо выше. По мнению автора статьи, ответственной является не та компания. Которая достигла определенно уровня устойчивости и остановилась на этом, а та, которая постоянно совершенствует свои подходы к обществу и окружающей среде, пусть и начав с низкой отметки.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также приводятся данные о том, что в прошлом году шесть российских компаний («Газпром», «Иркутскэнерго», «</w:t>
      </w:r>
      <w:proofErr w:type="spellStart"/>
      <w:r>
        <w:rPr>
          <w:sz w:val="28"/>
          <w:szCs w:val="28"/>
        </w:rPr>
        <w:t>Новатэк</w:t>
      </w:r>
      <w:proofErr w:type="spellEnd"/>
      <w:r>
        <w:rPr>
          <w:sz w:val="28"/>
          <w:szCs w:val="28"/>
        </w:rPr>
        <w:t>», «Татнефть», ФСК и «</w:t>
      </w:r>
      <w:proofErr w:type="spellStart"/>
      <w:r>
        <w:rPr>
          <w:sz w:val="28"/>
          <w:szCs w:val="28"/>
        </w:rPr>
        <w:t>Центртелеком</w:t>
      </w:r>
      <w:proofErr w:type="spellEnd"/>
      <w:r>
        <w:rPr>
          <w:sz w:val="28"/>
          <w:szCs w:val="28"/>
        </w:rPr>
        <w:t>») впервые заполнили информационный запрос по раскрытию выбросов парниковых газов. Ряд компаний, включая «Северсталь» и «</w:t>
      </w:r>
      <w:proofErr w:type="spellStart"/>
      <w:r>
        <w:rPr>
          <w:sz w:val="28"/>
          <w:szCs w:val="28"/>
        </w:rPr>
        <w:t>Луоил</w:t>
      </w:r>
      <w:proofErr w:type="spellEnd"/>
      <w:r>
        <w:rPr>
          <w:sz w:val="28"/>
          <w:szCs w:val="28"/>
        </w:rPr>
        <w:t xml:space="preserve">», пользуются специализированным кредитными линиями ЕБРР и МФК, открытыми в целях повышения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оказавшимися </w:t>
      </w:r>
      <w:r>
        <w:rPr>
          <w:sz w:val="28"/>
          <w:szCs w:val="28"/>
        </w:rPr>
        <w:lastRenderedPageBreak/>
        <w:t>коммерчески весьма выгодными для кредиторов. И чем больше российских компаний двинутся по этому пути, тем больше у их ценных бумаг шансов попасть в инвестиционные портфели не только под этикеткой «сырье», но и в номинации «устойчивое развитие».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Список используемой литературы и материалов</w:t>
      </w:r>
    </w:p>
    <w:p w:rsidR="00BE4E0F" w:rsidRDefault="00BE4E0F">
      <w:pPr>
        <w:spacing w:line="360" w:lineRule="auto"/>
        <w:ind w:firstLine="709"/>
        <w:jc w:val="both"/>
        <w:rPr>
          <w:sz w:val="28"/>
          <w:szCs w:val="28"/>
        </w:rPr>
      </w:pPr>
    </w:p>
    <w:p w:rsidR="00BE4E0F" w:rsidRDefault="00BE4E0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Гражданский кодекс (часть первая)</w:t>
      </w:r>
    </w:p>
    <w:p w:rsidR="00BE4E0F" w:rsidRDefault="00BE4E0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Закон от 26 июня 1991 года N 1488-1 «Об инвестиционной деятельности в РСФСР» </w:t>
      </w:r>
    </w:p>
    <w:p w:rsidR="00BE4E0F" w:rsidRDefault="00BE4E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Федеральный закон от 25 февраля 1999 года N 39-ФЗ «Об инвестиционной деятельности в Российской Федерации, осуществляемой в форме капитальных вложений</w:t>
      </w:r>
      <w:proofErr w:type="gramStart"/>
      <w:r>
        <w:rPr>
          <w:sz w:val="28"/>
          <w:szCs w:val="28"/>
        </w:rPr>
        <w:t>»</w:t>
      </w:r>
      <w:proofErr w:type="gramEnd"/>
    </w:p>
    <w:p w:rsidR="00BE4E0F" w:rsidRDefault="00BE4E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Инвестиции: Учебник А.С. </w:t>
      </w:r>
      <w:proofErr w:type="spellStart"/>
      <w:r>
        <w:rPr>
          <w:sz w:val="28"/>
          <w:szCs w:val="28"/>
        </w:rPr>
        <w:t>Нешитой</w:t>
      </w:r>
      <w:proofErr w:type="spellEnd"/>
      <w:r>
        <w:rPr>
          <w:sz w:val="28"/>
          <w:szCs w:val="28"/>
        </w:rPr>
        <w:t xml:space="preserve">.- 8-е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Изательско</w:t>
      </w:r>
      <w:proofErr w:type="spellEnd"/>
      <w:r>
        <w:rPr>
          <w:sz w:val="28"/>
          <w:szCs w:val="28"/>
        </w:rPr>
        <w:t>-торговая корпорация «Дашков и К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», 2009. - 322 с</w:t>
      </w:r>
      <w:proofErr w:type="gramStart"/>
      <w:r>
        <w:rPr>
          <w:sz w:val="28"/>
          <w:szCs w:val="28"/>
        </w:rPr>
        <w:t xml:space="preserve">. </w:t>
      </w:r>
      <w:proofErr w:type="gramEnd"/>
    </w:p>
    <w:p w:rsidR="00BE4E0F" w:rsidRDefault="00BE4E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Вахрин</w:t>
      </w:r>
      <w:proofErr w:type="spellEnd"/>
      <w:r>
        <w:rPr>
          <w:sz w:val="28"/>
          <w:szCs w:val="28"/>
        </w:rPr>
        <w:t xml:space="preserve"> П.И. Инвестиции: Практические задачи и контрольные ситуации: Учебное пособие. - М.: </w:t>
      </w:r>
      <w:proofErr w:type="spellStart"/>
      <w:r>
        <w:rPr>
          <w:sz w:val="28"/>
          <w:szCs w:val="28"/>
        </w:rPr>
        <w:t>Изательско</w:t>
      </w:r>
      <w:proofErr w:type="spellEnd"/>
      <w:r>
        <w:rPr>
          <w:sz w:val="28"/>
          <w:szCs w:val="28"/>
        </w:rPr>
        <w:t>-торговая корпорация «Дашков и К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», 2003. - 212 с</w:t>
      </w:r>
      <w:proofErr w:type="gramStart"/>
      <w:r>
        <w:rPr>
          <w:sz w:val="28"/>
          <w:szCs w:val="28"/>
        </w:rPr>
        <w:t xml:space="preserve">. </w:t>
      </w:r>
      <w:proofErr w:type="gramEnd"/>
    </w:p>
    <w:p w:rsidR="00BE4E0F" w:rsidRDefault="00BE4E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Инвестиции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Касьяненко Т.Г., </w:t>
      </w:r>
      <w:proofErr w:type="spellStart"/>
      <w:r>
        <w:rPr>
          <w:sz w:val="28"/>
          <w:szCs w:val="28"/>
        </w:rPr>
        <w:t>Маховикова</w:t>
      </w:r>
      <w:proofErr w:type="spellEnd"/>
      <w:r>
        <w:rPr>
          <w:sz w:val="28"/>
          <w:szCs w:val="28"/>
        </w:rPr>
        <w:t xml:space="preserve"> Г.А. - М. 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, 2009. - 240 с. </w:t>
      </w:r>
    </w:p>
    <w:p w:rsidR="00BE4E0F" w:rsidRDefault="00BE4E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Кириченко Т.В. Финансовый менеджмент: Учебное пособие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од ред. А. А. </w:t>
      </w:r>
      <w:proofErr w:type="spellStart"/>
      <w:r>
        <w:rPr>
          <w:sz w:val="28"/>
          <w:szCs w:val="28"/>
        </w:rPr>
        <w:t>Комзолова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Изательско</w:t>
      </w:r>
      <w:proofErr w:type="spellEnd"/>
      <w:r>
        <w:rPr>
          <w:sz w:val="28"/>
          <w:szCs w:val="28"/>
        </w:rPr>
        <w:t>-торговая корпорация «Дашков и К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», 2007. - 626 с.</w:t>
      </w:r>
    </w:p>
    <w:sectPr w:rsidR="00BE4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E9" w:rsidRDefault="00394CE9" w:rsidP="00050C9F">
      <w:r>
        <w:separator/>
      </w:r>
    </w:p>
  </w:endnote>
  <w:endnote w:type="continuationSeparator" w:id="0">
    <w:p w:rsidR="00394CE9" w:rsidRDefault="00394CE9" w:rsidP="0005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9F" w:rsidRDefault="00050C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9F" w:rsidRPr="00050C9F" w:rsidRDefault="00050C9F" w:rsidP="00050C9F">
    <w:pPr>
      <w:widowControl/>
      <w:tabs>
        <w:tab w:val="center" w:pos="4677"/>
        <w:tab w:val="right" w:pos="9355"/>
      </w:tabs>
      <w:autoSpaceDE/>
      <w:autoSpaceDN/>
      <w:adjustRightInd/>
      <w:rPr>
        <w:rFonts w:asciiTheme="minorHAnsi" w:hAnsiTheme="minorHAnsi" w:cs="Times New Roman"/>
        <w:sz w:val="22"/>
        <w:szCs w:val="22"/>
      </w:rPr>
    </w:pPr>
    <w:r w:rsidRPr="00050C9F">
      <w:rPr>
        <w:rFonts w:asciiTheme="minorHAnsi" w:hAnsiTheme="minorHAnsi" w:cs="Times New Roman"/>
        <w:sz w:val="22"/>
        <w:szCs w:val="22"/>
      </w:rPr>
      <w:t xml:space="preserve">Вернуться в каталог готовых дипломов и магистерских диссертаций </w:t>
    </w:r>
  </w:p>
  <w:p w:rsidR="00050C9F" w:rsidRDefault="00050C9F" w:rsidP="00050C9F">
    <w:pPr>
      <w:pStyle w:val="a5"/>
    </w:pPr>
    <w:hyperlink r:id="rId1" w:history="1">
      <w:r w:rsidRPr="00050C9F">
        <w:rPr>
          <w:rFonts w:asciiTheme="minorHAnsi" w:hAnsiTheme="minorHAnsi" w:cs="Times New Roman"/>
          <w:color w:val="0000FF" w:themeColor="hyperlink"/>
          <w:sz w:val="22"/>
          <w:szCs w:val="22"/>
          <w:u w:val="single"/>
        </w:rPr>
        <w:t>http://учебники.информ2000.рф/diplom.shtml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9F" w:rsidRDefault="00050C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E9" w:rsidRDefault="00394CE9" w:rsidP="00050C9F">
      <w:r>
        <w:separator/>
      </w:r>
    </w:p>
  </w:footnote>
  <w:footnote w:type="continuationSeparator" w:id="0">
    <w:p w:rsidR="00394CE9" w:rsidRDefault="00394CE9" w:rsidP="00050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9F" w:rsidRDefault="00050C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9F" w:rsidRPr="00050C9F" w:rsidRDefault="00050C9F" w:rsidP="00050C9F">
    <w:pPr>
      <w:widowControl/>
      <w:tabs>
        <w:tab w:val="center" w:pos="4677"/>
        <w:tab w:val="right" w:pos="9355"/>
      </w:tabs>
      <w:autoSpaceDE/>
      <w:autoSpaceDN/>
      <w:adjustRightInd/>
      <w:rPr>
        <w:rFonts w:asciiTheme="minorHAnsi" w:hAnsiTheme="minorHAnsi" w:cs="Times New Roman"/>
        <w:sz w:val="22"/>
        <w:szCs w:val="22"/>
      </w:rPr>
    </w:pPr>
    <w:r w:rsidRPr="00050C9F">
      <w:rPr>
        <w:rFonts w:asciiTheme="minorHAnsi" w:hAnsiTheme="minorHAnsi" w:cs="Times New Roman"/>
        <w:sz w:val="22"/>
        <w:szCs w:val="22"/>
      </w:rPr>
      <w:t>Узнайте стоимость написания на заказ студенческих и аспирантских работ</w:t>
    </w:r>
  </w:p>
  <w:p w:rsidR="00050C9F" w:rsidRDefault="00050C9F" w:rsidP="00050C9F">
    <w:pPr>
      <w:pStyle w:val="a3"/>
    </w:pPr>
    <w:hyperlink r:id="rId1" w:history="1">
      <w:r w:rsidRPr="00050C9F">
        <w:rPr>
          <w:rFonts w:asciiTheme="minorHAnsi" w:hAnsiTheme="minorHAnsi" w:cs="Times New Roman"/>
          <w:color w:val="0000FF" w:themeColor="hyperlink"/>
          <w:sz w:val="22"/>
          <w:szCs w:val="22"/>
          <w:u w:val="single"/>
        </w:rPr>
        <w:t>http://учебники.информ2000.рф/napisat-diplom.shtml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9F" w:rsidRDefault="00050C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6"/>
    <w:rsid w:val="00050C9F"/>
    <w:rsid w:val="00394CE9"/>
    <w:rsid w:val="00550FB6"/>
    <w:rsid w:val="00BE4E0F"/>
    <w:rsid w:val="00C1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unhideWhenUsed/>
    <w:rsid w:val="00050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C9F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0C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C9F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unhideWhenUsed/>
    <w:rsid w:val="00050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C9F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0C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C9F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diplom.s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napisat-diplom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4779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</cp:revision>
  <dcterms:created xsi:type="dcterms:W3CDTF">2023-10-25T05:19:00Z</dcterms:created>
  <dcterms:modified xsi:type="dcterms:W3CDTF">2023-10-25T05:31:00Z</dcterms:modified>
</cp:coreProperties>
</file>