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550" w:rsidRDefault="003A5550">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Дипломная работа</w:t>
      </w: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Разработка предложений по повышению эффективности ФХД ОАО «ВО «Технопромэкспорт»</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714A" w:rsidRDefault="004A2985">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2012</w:t>
      </w: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Оглавление</w:t>
      </w:r>
    </w:p>
    <w:p w:rsidR="003A5550" w:rsidRDefault="003A5550">
      <w:pPr>
        <w:widowControl w:val="0"/>
        <w:tabs>
          <w:tab w:val="right" w:leader="dot" w:pos="9345"/>
        </w:tabs>
        <w:autoSpaceDE w:val="0"/>
        <w:autoSpaceDN w:val="0"/>
        <w:adjustRightInd w:val="0"/>
        <w:spacing w:after="0" w:line="360" w:lineRule="auto"/>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Введение</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1. Организационно-экономическая характеристика ОАО «ВО «Технопромэкспорт»</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1.1 Организационно- правовая характеристика</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1.2 Краткая характеристика деятельности ОАО «ВО «Технопромэкспорт»</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1.3 Оценка перспектив ОАО «ВО «Технопромэкспорт» в контексте текущего положения и планов развития российской электроэнергетики</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2. Методика анализа финансово-хозяйственной деятельности компании</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2.1 Анализ имущественного положения компании</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2.2 Анализ финансового состояния компании</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2.3 Анализ деловой активности компании</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2.4 Анализ финансовых результатов компании</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3. Анализа финансово-хозяйственной деятельности ОАО «ВО «Технопромэкспорт»</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3.1 Анализ имущественного положения ОАО «ВО «Технопромэкспорт»</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rPr>
        <w:t>.2 Анализ финансового состояния ОАО «ВО «Технопромэкспорт»</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3.3 Анализ деловой активности ОАО «ВО «Технопромэкспорт»</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3.4 Анализ финансовых результатов ОАО «ВО «Технопромэкспорт»</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3.5 Разработка предложений по повышению эффективности финансово-хозяйственной деятельности ОАО «ВО «Технопромэкспорт»</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Заключение</w:t>
      </w:r>
    </w:p>
    <w:p w:rsidR="003A5550" w:rsidRDefault="004A2985">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sz w:val="28"/>
          <w:szCs w:val="28"/>
          <w:u w:val="single"/>
        </w:rPr>
        <w:t>Список использованной литературы</w:t>
      </w:r>
    </w:p>
    <w:p w:rsidR="003A5550" w:rsidRDefault="004A2985">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Введение</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анализ имеет важное значение в системе управления компанией. Он предшествует принятию любого решения, является обоснованием их на базе имеющейся информации. Поэтому владение его методами необходимо всем, кто принимает участие в управлении производством.</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задачей анализа финансово-хозяйственной деятельности является познание сущности экономических явлений, установление и количественное измерение воздействия на уровень результативного показателя различных факторов и выявление на основе этого резервов повышения эффективности производства.</w:t>
      </w:r>
    </w:p>
    <w:p w:rsidR="006368F7" w:rsidRPr="006368F7" w:rsidRDefault="006368F7" w:rsidP="006368F7">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6368F7">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6368F7" w:rsidRDefault="006925B6" w:rsidP="006368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6368F7" w:rsidRPr="006368F7">
          <w:rPr>
            <w:rFonts w:ascii="Times New Roman CYR" w:eastAsia="Times New Roman" w:hAnsi="Times New Roman CYR" w:cs="Times New Roman CYR"/>
            <w:b/>
            <w:color w:val="FF0000"/>
            <w:sz w:val="28"/>
            <w:szCs w:val="28"/>
            <w:u w:val="single"/>
            <w:lang w:val="en-US"/>
          </w:rPr>
          <w:t>http</w:t>
        </w:r>
        <w:r w:rsidR="006368F7" w:rsidRPr="006368F7">
          <w:rPr>
            <w:rFonts w:ascii="Times New Roman CYR" w:eastAsia="Times New Roman" w:hAnsi="Times New Roman CYR" w:cs="Times New Roman CYR"/>
            <w:b/>
            <w:color w:val="FF0000"/>
            <w:sz w:val="28"/>
            <w:szCs w:val="28"/>
            <w:u w:val="single"/>
          </w:rPr>
          <w:t>://учебники.информ2000.рф/</w:t>
        </w:r>
        <w:r w:rsidR="006368F7" w:rsidRPr="006368F7">
          <w:rPr>
            <w:rFonts w:ascii="Times New Roman CYR" w:eastAsia="Times New Roman" w:hAnsi="Times New Roman CYR" w:cs="Times New Roman CYR"/>
            <w:b/>
            <w:color w:val="FF0000"/>
            <w:sz w:val="28"/>
            <w:szCs w:val="28"/>
            <w:u w:val="single"/>
            <w:lang w:val="en-US"/>
          </w:rPr>
          <w:t>diplom</w:t>
        </w:r>
        <w:r w:rsidR="006368F7" w:rsidRPr="006368F7">
          <w:rPr>
            <w:rFonts w:ascii="Times New Roman CYR" w:eastAsia="Times New Roman" w:hAnsi="Times New Roman CYR" w:cs="Times New Roman CYR"/>
            <w:b/>
            <w:color w:val="FF0000"/>
            <w:sz w:val="28"/>
            <w:szCs w:val="28"/>
            <w:u w:val="single"/>
          </w:rPr>
          <w:t>.</w:t>
        </w:r>
        <w:r w:rsidR="006368F7" w:rsidRPr="006368F7">
          <w:rPr>
            <w:rFonts w:ascii="Times New Roman CYR" w:eastAsia="Times New Roman" w:hAnsi="Times New Roman CYR" w:cs="Times New Roman CYR"/>
            <w:b/>
            <w:color w:val="FF0000"/>
            <w:sz w:val="28"/>
            <w:szCs w:val="28"/>
            <w:u w:val="single"/>
            <w:lang w:val="en-US"/>
          </w:rPr>
          <w:t>shtml</w:t>
        </w:r>
      </w:hyperlink>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Финансовый анализ, являясь инструментом менеджера среднего и высшего звена, представляет собой процесс, основанный на изучении данных о финансовом состоянии предприятия и результатах его деятельности в прошлом с целью оценки будущих условий и результатов деятельности. Таким образом, главной задачей финансового анализа является снижение неизбежной неопределенности, связанной с принятием экономических решений, ориентированных на будущее.</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целью финансового анализа является получение небольшого числа ключевых, наиболее информативных параметров, дающих объективную и точную картину финансового состояния предприятия, его прибылей и убытков, изменений в структуре активов и пассивов, в расчетах с дебиторами и кредиторами.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источником информации для анализа финансового состояния служит бухгалтерский баланс ОАО «Внешнеэкономическое объединение </w:t>
      </w:r>
      <w:r>
        <w:rPr>
          <w:rFonts w:ascii="Times New Roman CYR" w:hAnsi="Times New Roman CYR" w:cs="Times New Roman CYR"/>
          <w:sz w:val="28"/>
          <w:szCs w:val="28"/>
        </w:rPr>
        <w:lastRenderedPageBreak/>
        <w:t>«Технопромэкспорт» (форма № 1). Источником данных для анализа финансовых результатов является "Отчет о прибылях и убытках" (форма № 2). Источниками дополнительной информации служат "Отчет о движении капитала" (форма № 3), "Отчет о движении денежных средств" (форма № 4) и приложение к балансу (форма № 5).</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возможен лишь в том случае, если имеются некоторые данные, которые служат информационной основой аналитических расчетов, поэтому объектом исследования в данной работе выбрано Открытое акционерное общество « ВО «Технопромэкспорт», так как их бухгалтерская отчетность подлежит обязательной публикации. Данные собраны из отчетности за четыре года с 2007 по 2011 гг.</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анализа финансово-хозяйственной деятельности является познание сущности экономических явлений, установление и количественное измерение воздействия на уровень результативного показателя различных факторов и выявление на основе этого резервов повышения эффективности производства в ОАО «ВО «Технопромэкспорт».</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поставленной целью необходимо выполнение следующих задач:</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оценка финансового положения компании;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финансового состояния компании;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самофинансирования компании;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деловой активности компании;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движения денежных средств компании;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результатов финансово-хозяйственной деятельности компании.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изучения влияния факторов на результаты хозяйственной деятельности применяются различные способы, выбор которых зависит от цели и глубины анализа, объекта исследования, технических возможностей выполнения расчетов и т.д.</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lastRenderedPageBreak/>
        <w:t>электроэнергетика имущественный финансовый компания</w:t>
      </w: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 Организационно-экономическая характеристика ОАО ВО «Технопромэкспорт»</w:t>
      </w:r>
    </w:p>
    <w:p w:rsidR="003A5550" w:rsidRDefault="003A5550">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1.1 Организационно- правовая характеристика</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Технопромэкспорт - инжиниринговая компания, сконцентрировавшая свои компетенции в области строительства энергетических объектов.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видом деятельности ОАО «ВО «Технопромэкспорт» является строительство и реконструкция энергетических объектов «под ключ» - строительство гидро - и теплоэлектростанций, работающих на различных видах топлива, от традиционных угля и газа до геотермального тепла Земли, электрических сетей и подстанций.</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предлагает полный комплекс услуг по созданию энергообъектов - от проектных и изыскательских работ до управления сооруженными объектами.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реализацией в 2008 году проекта строительства ТЭС «Международная» на условиях ВОО (Build Own Operate) новым видом деятельности компании стало производство электрической и тепловой энергии.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Технопромэкспорт был создан Правительством СССР в 1955 году, ориентирован только на зарубежные рынки и изначально специализировался на строительстве энергетических объектов в рамках программ межгосударственного двустороннего сотрудничества. С 1969 года Технопромэкспорт реализует энергетические проекты «под ключ». С 1972 года работает на рынках Азии, Африки, Ближнего Востока на конкурентной основе. Осуществил более 400 проектов в энергетике.</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середины 90-х годов Технопромэкспорт активно работает на российском рынке. Обладает статусом наблюдателя в Электроэнергетическом Совете стран СНГ. Специалисты Технопромэкспорта строили энергетические объекты в 50 </w:t>
      </w:r>
      <w:r>
        <w:rPr>
          <w:rFonts w:ascii="Times New Roman CYR" w:hAnsi="Times New Roman CYR" w:cs="Times New Roman CYR"/>
          <w:sz w:val="28"/>
          <w:szCs w:val="28"/>
        </w:rPr>
        <w:lastRenderedPageBreak/>
        <w:t>странах мира. Разные языки и религии, разные политические системы, разные климатические зоны и временные пояса, сложнейшие природные условия - вот что стоит за словами: «Технопромэкспорт уже 55 лет представляет интересы российской энергетики по всему миру».</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была создана для продвижения на внешние рынки технологий и оборудования российской электроэнергетической отрасли.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Одновременно с передачей технологий происходила передача знаний, культурный обмен, межгосударственные связи становились межличностными, позволяя и сегодня поддерживать дружеские и бизнес контакты. В настоящее время маркетинговая политика компании реализуется через институт региональных директоров и сеть собственных зарубежных представительств. Их основными задачами являются сбор маркетинговой информации, поддержание и установление деловых контактов, поиск новых и сопровождение текущих проектов.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региональных представительств компании: 12, из них 11 за рубежом. Количество сотрудников: 600. Количество сотрудников центрального офиса в Москве: 255.</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22500" cy="15240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2500" cy="152400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1.1 Основные объекты ОАО «ВО «Технопромэкспорт»</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DB714A">
        <w:rPr>
          <w:rFonts w:ascii="Microsoft Sans Serif" w:hAnsi="Microsoft Sans Serif" w:cs="Microsoft Sans Serif"/>
          <w:noProof/>
          <w:sz w:val="17"/>
          <w:szCs w:val="17"/>
        </w:rPr>
        <w:lastRenderedPageBreak/>
        <w:drawing>
          <wp:inline distT="0" distB="0" distL="0" distR="0">
            <wp:extent cx="1638300" cy="152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52400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Рис.1.2 Организационная структура ОАО «ВО «Технопромэкспорт»</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осуществляет формирование стратегии развития и организация деятельности компании.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обязанности заместителя генерального директора по России входит организация исполнения контрактов и координация деятельности Дирекций по строительству.</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обязанности заместителя генерального директора по зарубежным странам - организация исполнения контрактов и координация деятельности Дирекций по строительству.</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обязанности заместителя генерального директора по развитию бизнеса в зарубежных странах - реализация маркетинговой политики компании через институт региональных дирекций по зарубежным странам и представительств.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обязанности заместителя генерального директора по финансам и экономике - разработка экономической, финансовой, инвестиционной политики компании.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Директор по поставкам и логистике обеспечивает поставки/закупки оборудования и материалов.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Директор по внешним коммуникациям реализует коммуникативную политику компании.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обязанности регионального директора по России и странам СНГ входит маркетинг, продажи, координация деятельности в курируемом регионе.</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Направления деятельности: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строительство энергетических объектов: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тепловые электростанции, включая парогазовые комбинированного цикла, газотурбинные, геотермальные, дизельные;</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гидроэлектростанции;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линии электропередачи и подстанции.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модернизация и реконструкция тепловых и гидроэлектростанций, в том числе с повышением единичной мощности энергоблоков.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комплексное пост гарантийное обслуживание энергообъектов, поставка оборудования.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строительство промышленных и инфраструктурных объектов.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производство тепло- и электроэнергии.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Технопромэкспорт специализируется на реализации проектов «под ключ» и/или осуществляет полный перечень работ, входящих в структуру ЕРС/ЕРСМ контрактов: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экспертиз проектов, подготовка ТЭО или Обоснований Инвестиций Строительства, которые включают технические решения, варианты комплектации основным оборудованием, первоначальную оценку стоимости строительства и окупаемости проекта;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исполнение функций инженера со стороны Заказчика, осуществление технического надзора за ходом строительства и финансового мониторинга;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исполнение функций шеф-надзора по различным видам работ;</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полный комплекс проектных работ с учетом геологических, природных и климатических особенностей местности;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строительные работы;</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поставка оборудования и материалов;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монтажные работы;</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пуско-наладочные работы;</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ввод в эксплуатацию и передача объекта заказчику.</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Современный рынок энергетического строительства - это конкуренция технологий и опыта. В настоящее время почти две трети вводимых во всем мире электростанций работают по технологии парогазового комбинированного цикла. Это объясняется их высокой экономической эффективностью, а также экологическими характеристиками - низким уровнем вредных выбросов. Основные преимущества парогазовых установок перед традиционными паротурбинными установками: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Высокая экономичность</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Экологическая чистота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Высокая маневренность</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Более короткий срок строительства и меньшие капитальные затраты, обусловленные особенностями тепловой схемы ПГУ: более простая паровая турбина, отсутствие регенерации, отсутствие сложного энергетического котла, более простая дымовая труба и др.</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состоянию на 31.12.2011 года уставный капитал ОАО «ВО «Технопромэкспорт» составлял 15 705 732 000 (Пятнадцать миллиардов семьсот пять миллионов семьсот тридцать две тысячи) рублей, разделен на 15 705 732 (пятнадцать миллионов семьсот пять тысяч семьсот тридцать две) обыкновенных именных акций, номинальной стоимостью 1 000 (Одна тысяча) рублей каждая.</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1.2 Краткая характеристика деятельности ОАО «ВО «Технопромэкспорт»</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состоянию на 31.12.2011 выручка Общества составила 23 815 107тыс. руб.</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1.1 Выручка по ключевым контрактам по РСБУ (млн. руб.) в 2011 году</w:t>
      </w: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14600" cy="1809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809750"/>
                    </a:xfrm>
                    <a:prstGeom prst="rect">
                      <a:avLst/>
                    </a:prstGeom>
                    <a:noFill/>
                    <a:ln>
                      <a:noFill/>
                    </a:ln>
                  </pic:spPr>
                </pic:pic>
              </a:graphicData>
            </a:graphic>
          </wp:inline>
        </w:drawing>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 Общество принимало участие в зарубежных тендерах на строительство энергообъектов «под ключ» (Польша, Индия), поставку энергетического оборудования (Сербия, Алжир), а также в тендерах на территории России. По результатам тендера на строительство нового парогазового энергоблока 3.1 мощностью 400 МВт на Нижневартовской ГРЭС для филиала «ОГК-1» Нижневартовской ГРЭС Общество признано победителем и уже разворачивает работы по строительству станции.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имеет значительные перспективы по расширению своего присутствия на энергетических рынках России и зарубежных развивающихся стран, что обусловлено следующими объективными факторами: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имеет значительный рефератный список законченных проектов по всему миру;</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обладает опытной командой проектных менеджеров и инжиниринговых специалистов;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обладает наличием опыта ведения бизнеса в развивающихся странах;</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имеет устойчивый положительный «сash-flow» от текущих проектов (за исключением проекта ТЭС «Бар» (Индия));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Общество обладает финансовыми ресурсами по предоставлению гарантий исполнения контрактов.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принимает и планирует продолжать участие в конкурсах и тендерах генерирующих компаний, а также активизирует свое присутствие и деятельность в странах СНГ, в первую очередь в Республике Беларусь, Узбекистане, в Украине и в Туркменистане.</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ВО «Технопромэкспорт» активно взаимодействует с рядом крупнейших российских и международных банков (ГК «Внешэкономбанк», ОАО «Сбербанк России», Евразийский Банк Развития), которые уже подтвердили свои намерения и условия кредитования заказчиков Общества из стран СНГ, планирующих реализацию проектов в сфере электроэнергетики (например, Полоцкая ГЭС и другие проекты в Республике Беларусь, а также ряд проектов в Казахстане).</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Стабильный коллектив профессионалов с богатейшим опытом осуществления энергетических проектов за рубежом является залогом многолетнего успеха ОАО «ВО «Технопромэкспорт» на международном и российском рынках энергетического строительства.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Инженерный и коммерческий состав Общества прошел важную школу внешнеэкономической деятельности, включающую работу на строительных площадках крупных объектов, в представительствах ОАО «ВО «Технопромэкспорт» во многих странах мира. Более трети сотрудников компании имеют опыт работы в представительствах и на объектах строительства, что предполагается существующей практикой карьерного роста в Обществе.</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Кадровая политика Общества сегодня направлена на сохранение основного ядра специалистов-энергетиков с уникальными знаниями и на передачу их опыта молодым специалистам. С целью передачи опыта, разъяснения сложных вопросов, внедрения в практику работы новых процедур и технологий в </w:t>
      </w:r>
      <w:r>
        <w:rPr>
          <w:rFonts w:ascii="Times New Roman CYR" w:hAnsi="Times New Roman CYR" w:cs="Times New Roman CYR"/>
          <w:sz w:val="28"/>
          <w:szCs w:val="28"/>
        </w:rPr>
        <w:lastRenderedPageBreak/>
        <w:t>Обществе ведется ежегодная внутрикорпоративная учеба с привлечением опытных экспертов компании. Для привлечения молодых специалистов ОАО «ВО «Технопромэкспорт» поддерживает постоянные связи с Московским энергетическим институтом, участвует в ярмарке вакансий МЭИ. За 3 последних года приняты на работу в Общество и успешно строят свою карьеру 15 выпускников МЭИ.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годы был взят курс на оптимизацию структуры и внутренних бизнес-процессов с целью выявления и максимального использования как компетенций самой компании, так и её кадрового состава. По вопросам подготовки специалистов для внешнеэкономической деятельности ОАО «ВО «Технопромэкспорт» тесно сотрудничает с Всероссийской академией внешней торговли и с Московским институтом международного бизнеса, где сотрудники Общества проходят повышение квалификации, а также получают второе высшее образование. В 2009 г. второе высшее образование в ВАВТ получали 2 человека, по программе MBA («Мастер делового администрирования») обучались 2 человека, на семинарах и краткосрочных курсах повышения квалификации прошли обучение 99 человек (34 %). Продолжили обучение сотрудники, получающие второе высшее образование, специалисты, для которых обязательно ежегодное подтверждение знаний - сертифицированные бухгалтеры, специалисты системы менеджмента качества, а также оперативные сотрудники кадрового резерва. Кроме традиционных форм обучения компанией организованы курсы, разработанные специально для Общества коллективом профессорско-преподавательского состава Московского энергетического института и Международным институтом менеджмента по следующей тематике: «Оборудование и компоновки гидроэлектростанций», «Теплоэлектростанции: принципы проектирования, строительства и эксплуатации», «Финансирование импорта/экспорта для российских компаний».</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 учетом того обстоятельства, что ОАО «ВО «Технопромэкспорт» ведет свой бизнес во многих странах мира в компании организовано обучение сотрудников иностранным языкам на основе многолетнего сотрудничества с Высшими курсами иностранных языков Минэкономразвития РФ. В настоящее время в компании 50% сотрудников свободно владеют английским, арабским или французскими языками.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компании уделяет особое внимание обеспечению достойного уровня социальной поддержки сотрудников Общества. Все сотрудники, а также пенсионеры компании охвачены программой добровольного медицинского страхования. Реализуется программа страхования от несчастных случаев и болезней, страхование при выездах в командировки. Для выходящих на заслуженный отдых сотрудников в соответствии с Коллективным договором предусмотрена выплата выходного пособия.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добросовестную и многолетнюю работу в сфере энергетики, достижение высоких показателей в труде отдельные сотрудники Общества представляются к государственным наградам и ведомственным знакам отличия. В последнее время трем сотрудникам присвоены почетные звания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«Заслуженный энергетик РФ», одному - почетное звание «Заслуженный экономист РФ», одному - «Заслуженный строитель РФ». В 2009 году двум сотрудникам Общества была объявлена благодарность Министерства энергетики РФ.</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1.3 Оценка перспектив ОАО «ВО «Технопромэкспорт» в контексте текущего положения и планов развития Российской электроэнергетики</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 сформирована компромиссная позиция государства и частных инвесторов в электроэнергетике, которая определена в Генеральной схеме </w:t>
      </w:r>
      <w:r>
        <w:rPr>
          <w:rFonts w:ascii="Times New Roman CYR" w:hAnsi="Times New Roman CYR" w:cs="Times New Roman CYR"/>
          <w:sz w:val="28"/>
          <w:szCs w:val="28"/>
        </w:rPr>
        <w:lastRenderedPageBreak/>
        <w:t>размещения объектов электроэнергетики (утверждена в 2010 году) и Программе развития единой энергетической системы России (имеется ввиду на 2010 - 2016 гг.).</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данным документом до 2016 года планируется ввод объемов мощностей (по официальной информации Министерства энергетики Российской Федерации), представленных в табл. 1.2.</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1.2 Планируемые для ввода мощности</w:t>
      </w: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59050" cy="762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9050" cy="762000"/>
                    </a:xfrm>
                    <a:prstGeom prst="rect">
                      <a:avLst/>
                    </a:prstGeom>
                    <a:noFill/>
                    <a:ln>
                      <a:noFill/>
                    </a:ln>
                  </pic:spPr>
                </pic:pic>
              </a:graphicData>
            </a:graphic>
          </wp:inline>
        </w:drawing>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срок строительства энергообъектов средней мощности составляет 2-3 года, а крупных объектов - 3-4 года, следовательно, общий объем проектов, в которых Общество может принять участие (и по которым будет проводиться в среднесрочной перспективе тендеры по выбору EPC / EPCМ подрядчиков), составит не менее 15 ГВт электрической мощности (без учета АЭС) в горизонте 2012 - 2013 гг. Общая стоимость проектов составит эквивалент не менее 20-22 млрд. долларов США.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Целевым ориентиром Общества является получение портфеля новых заказов в 2012 году в размере 45,9 млрд. руб. с перспективой роста портфеля новых заказов на 10% в последующие периоды. Вместе с тем, точное прогнозирование в оценке количества тендеров/конкурсов, в которых Общество может быть признано победителем, является невозможным. Поэтому прогноз выручки по планируемым проектам представлен с учетом оценочной вероятности получения тех или иных заказов.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проектов в области строительства новых энергетических объектов Общество нацелено на развитие направлений инжиниринговых услуг в таких сегментах, как:</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строительство «под ключ» крупных промышленных и инфраструктурных объектов;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модернизация и реконструкция тепловых и гидроэлектростанций;</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электросетевое строительство.</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в перспективе может быть использован имеющийся у ОАО «ВО «Технопромэкспорт» опыт строительства электростанций с использованием </w:t>
      </w:r>
      <w:r>
        <w:rPr>
          <w:rFonts w:ascii="Times New Roman CYR" w:hAnsi="Times New Roman CYR" w:cs="Times New Roman CYR"/>
          <w:sz w:val="28"/>
          <w:szCs w:val="28"/>
        </w:rPr>
        <w:lastRenderedPageBreak/>
        <w:t>возобновляемых источников энергии. До сих пор Общество является единственной в России организацией, имеющей практический опыт строительства геотермальной станции - Мутновской ГеоЭС. Общество может осуществить строительство «под ключ» электростанций, использующих возобновляемые виды энергии, и возглавить организацию работ, связанных с промышленным строительством генерирующих объектов с использованием возобновляемых или нетрадиционных источников энергии.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приоритетным направлениям деятельности Общества по-прежнему остается строительство энергетических объектов в России и за рубежом, в том числе:</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электростанций на базе парогазовых установок;</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электростанций на базе угольных блоков со сверхкритическими параметрами пара;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объектов гидроэнергетики;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генерирующих объектов с использованием возобновляемых и нетрадиционных источников энергии;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линий электропередач и подстанций.</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 производство электроэнергии в Российской Федерации превысило докризисный уровень и достигло исторического максимума. Объем производства составил, согласно данным Росстата, 1052 млрд кВт ч, что превысило уровень 2010 года на 1.4%. Темп роста в 2011 году был самым низким за последние десять лет (если не считать кризисного снижения производства). Это было обусловлено сравнительно небольшим ростом спроса со стороны реального сектора.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структуре производства электроэнергии среди трех основных видов генерации второй год подряд наблюдается увеличение доли тепловых электростанций (ТЭС) в общем объеме производства, а также снижение доли </w:t>
      </w:r>
      <w:r>
        <w:rPr>
          <w:rFonts w:ascii="Times New Roman CYR" w:hAnsi="Times New Roman CYR" w:cs="Times New Roman CYR"/>
          <w:sz w:val="28"/>
          <w:szCs w:val="28"/>
        </w:rPr>
        <w:lastRenderedPageBreak/>
        <w:t>гидроэлектростанций (ГЭС) из-за маловодности рек. Доля атомных электростанций (АЭС) сохраняет относительную стабильность. Соответственно, наивысший темп роста производства электроэнергии по итогам 2011 года продемонстрировали ТЭС - 2.2%, ГЭС снизили за этот период выработку на 2.0%, а рост производства на АЭС составил 1.4%.</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Потребление электроэнергии в России, как и ее производство, достигло рекордного уровня 1021.1 млрд. кВтч, увеличившись по сравнению с 2010 годом на 1.2%. В 2011 году возобновилась тенденция снижения электроемкости ВВП. По сравнению с 2010 годом электроемкость ВВП снизилась на 3%. В предыдущие два года этот показатель повышался. Тем не менее, минимум 2008 пока не достигнут.</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данным «СО ЕЭС», установленная мощность электростанций ЕЭС России по состоянию на 01.01.2012 г. составила 218.149 тыс. МВт, что на 1.5% больше, чем годом ранее. В 2011 году был ликвидирован провал по мощности, который образовался в 2009 году в связи с аварией на Саяно-Шушенской ГЭС.</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Ввод новых мощностей по итогам 2011 года составил 4.6 ГВт, что практически на 60% больше в сравнении с 2010 годом. Данная интенсификация показателей ввода новых мощностей, наблюдаемая в последние два года, обусловлена практикой реализации договоров на поставку мощности (ДПМ), выполнение которых является обязательным для генерирующих компаний. Но, несмотря на вышеуказанный рост показателей, они не соответствуют первоначальным прогнозам «СО ЕЭС» на 2011 год, которые соответствовали объему 8.4 ГВт. Отставание в выполнении плана было отмечено еще в I квартале 2011 года. В последующие периоды строительство активизировалось, и отставание от плана удалось сократить. В 2012 году, по плану «СО ЕСЭ» ввод новой мощности должен будет составить 9.5 ГВт.</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2011 году продолжение реализации реформы электроэнергетической отрасли российским Правительством, задачами которой изначально являлись либерализация рынка электроэнергетики, повышение конкуренции, а также привлечение большего числа инвесторов в отрасль, стало подвергаться заметной критике. Конечные тарифы для потребителей в отдельных регионах выросли более чем на 30%, притом, что целевая планка регулирующими органами была установлена на уровне 15%. Правительство обратило внимание энергокомпаний на то, что энергетика является регулируемой отраслью, и цена должна учитывать не только спрос и предложение, но и социальные условия жизни населения.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Принудительное сдерживание роста тарифов на электроэнергию регулирующими органами постепенно начало тормозить развитие отрасли в целом и повлияло на снижение инвестиционной привлекательности электроэнергетического сегмента.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сих пор электроэнергетические компании, находясь в жестких тарифных условиях, стоят перед острой необходимостью повышения своей операционной эффективности, а также в ликвидации последствий отклонения от первоначального курса реформы.</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перспективе инвестиционный климат в российской электроэнергетической отрасли по-прежнему будет формироваться в условиях давления регуляторов рынка.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Технопромэкспорт - инжиниринговая компания, в течение нескольких десятилетий специализировавшаяся на реализации энергетических проектов за рубежом. Появление в середине 90-х российских контрактов в портфеле компании связано в первую очередь с востребованностью Технопромэкспорта на отечественном рынке. Задача осуществления проекта по внедрению парогазовых технологий на российском рынке, строительство Северо-Западной ТЭЦ, была доверена специалистам Технопромэкспорта. Уникальный проект сооружения </w:t>
      </w:r>
      <w:r>
        <w:rPr>
          <w:rFonts w:ascii="Times New Roman CYR" w:hAnsi="Times New Roman CYR" w:cs="Times New Roman CYR"/>
          <w:sz w:val="28"/>
          <w:szCs w:val="28"/>
        </w:rPr>
        <w:lastRenderedPageBreak/>
        <w:t>геотермальной станции, Мутновской ГеоЭС, компания выиграла на международном тендере с финансированием ЕБРР. Бурный рост внутреннего спроса на инжиниринг в связи с реализацией инвестиционной программы бывшего РАО ЕЭС сместил соотношение зарубежных и отечественных проектов в портфеле заказов компании в сторону российских. Этому способствовал и ряд факторов, обусловленных обще рыночными тенденциями. Укрепление курса рубля, рост цен на металл и увеличение стоимости российского энергооборудования в ожидании ажиотажного внутреннего спроса привели к падению его конкурентоспособности за рубежом по сравнению с современными мировыми аналогами.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компании по увеличению доли российских контрактов в портфеле заказов Технопромэкспорта кардинально отличалась от точечной работы на внешнем рынке. Компания сконцентрировалась на задаче получения доминирующей доли российского рынка генподрядного строительства энергетических объектов, и все последние годы находилась в лидерах российского энергоинжиниринга. На начало 2011 года стоимостной объем исполняемых заказов компании в России составлял 63 миллиарда рублей.</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Возможность возобновления в ближайшее время отложенных и перенесенных проектов, а также реализация программ развития собственной генерации, например, металлургов, сохраняет привлекательность российского рынка для компании. Технопромэкспорт, в то же время, не намерен терять завоеванные 55-летней историей позиции на зарубежных рынках. Наличие у компании признанного на международных рынках бренда предполагает паритетное соотношение зарубежных и отечественных проектов. Такой подход позволяет снизить риск неопределенностей развития российского рынка. По некоторым позициям оборудование российского энергетического машиностроения остается конкурентоспособным на зарубежных рынках. Это </w:t>
      </w:r>
      <w:r>
        <w:rPr>
          <w:rFonts w:ascii="Times New Roman CYR" w:hAnsi="Times New Roman CYR" w:cs="Times New Roman CYR"/>
          <w:sz w:val="28"/>
          <w:szCs w:val="28"/>
        </w:rPr>
        <w:lastRenderedPageBreak/>
        <w:t>касается, в том числе, и оборудования для угольных станций, по которым Технопромэкспорт имеет хорошую референцию.</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Технопромэкспорт сохранил свои традиционные и очень сложные рынки Ирака и Афганистана. В 2009 году был подписан контракт на восстановление ТЭС Харта в Ираке, продолжилось исполнение контрактов по восстановлению ГЭС Наглу в Афганистане.</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Технопромэкспорт - одна из немногих российских компаний, обладающая опытом реализации проектов, как на российском, так и на международном рынках. Это преимущество компания планирует развивать и в дальнейшем, оставаясь компанией, работающей на мировом энергетическом рынке в интересах России (рис. 1.3).</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69950" cy="9144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9950" cy="91440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1.3. География выручки (на 01.01.2011г.)</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внимание в своей деятельности ОАО «ВО «Технопромэкспорт» уделяет выполнению текущих проектов в России и за рубежом, находящих на разных стадиях реализации. Наиболее крупными проектами Общества являются: в России - строительство новых энергоблоков на Уренгойской ГРЭС, Черепетской ГРЭС, Нижневартовской ГРЭС, за рубежом - ТЭС «Сисак» (Хорватия), ТЭС «Харта» (Ирак), ТЭС «Бар» (Индия) и потенциальные проекты (Алжир, Бангладеш, Иран).</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дальнейшего развития деятельности на зарубежных рынках Общество активно изучает возможности реализации проектов на основе перспективных бизнес-моделей, таких как ВОО и ВОТ. В настоящее время </w:t>
      </w:r>
      <w:r>
        <w:rPr>
          <w:rFonts w:ascii="Times New Roman CYR" w:hAnsi="Times New Roman CYR" w:cs="Times New Roman CYR"/>
          <w:sz w:val="28"/>
          <w:szCs w:val="28"/>
        </w:rPr>
        <w:lastRenderedPageBreak/>
        <w:t>рассматривается возможность установления стратегических взаимоотношений с крупными зарубежными инвестиционными фондами в странах Азии и Ближнего Востока, а также прорабатываются варианты сотрудничества на внешних рынках с российскими генерирующими компаниями.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взаимодействии с вышеуказанными партнерами заказчикам предлагается модель, при которой Общество берет на себя выполнение технической части проекта в роли ЕРС-контрактора, а партнерская компания предоставляет заказчику долевое участие или кредитную линию.</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настоящий момент Общество прорабатывает варианты установления долгосрочных отношений с производителями западного оборудования, в том числе на эксклюзивной основе, а также с применением форм проектного и экспортного финансирования.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Одновременно Общество активно готовится к участию в проектах по строительству энергообъектов на основе возобновляемых и альтернативных источников энергии. В частности, заручившись поддержкой западных компаний, производящих комплект оборудования для геотермальных электростанций, Общество проводит переговоры с рядом ключевых заказчиков в Индонезии, где геотермальная энергетика получила приоритет в развитии энергетической отрасли. Также рассматривается участие Общества в перспективных проектах строительства ТЭС на биомассе и с применением технологии утилизации ТБО «</w:t>
      </w:r>
      <w:r>
        <w:rPr>
          <w:rFonts w:ascii="Times New Roman CYR" w:hAnsi="Times New Roman CYR" w:cs="Times New Roman CYR"/>
          <w:sz w:val="28"/>
          <w:szCs w:val="28"/>
          <w:lang w:val="en-US"/>
        </w:rPr>
        <w:t>waste</w:t>
      </w:r>
      <w:r>
        <w:rPr>
          <w:rFonts w:ascii="Times New Roman CYR" w:hAnsi="Times New Roman CYR" w:cs="Times New Roman CYR"/>
          <w:sz w:val="28"/>
          <w:szCs w:val="28"/>
        </w:rPr>
        <w:t>-</w:t>
      </w:r>
      <w:r>
        <w:rPr>
          <w:rFonts w:ascii="Times New Roman CYR" w:hAnsi="Times New Roman CYR" w:cs="Times New Roman CYR"/>
          <w:sz w:val="28"/>
          <w:szCs w:val="28"/>
          <w:lang w:val="en-US"/>
        </w:rPr>
        <w:t>to</w:t>
      </w:r>
      <w:r>
        <w:rPr>
          <w:rFonts w:ascii="Times New Roman CYR" w:hAnsi="Times New Roman CYR" w:cs="Times New Roman CYR"/>
          <w:sz w:val="28"/>
          <w:szCs w:val="28"/>
        </w:rPr>
        <w:t>-</w:t>
      </w:r>
      <w:r>
        <w:rPr>
          <w:rFonts w:ascii="Times New Roman CYR" w:hAnsi="Times New Roman CYR" w:cs="Times New Roman CYR"/>
          <w:sz w:val="28"/>
          <w:szCs w:val="28"/>
          <w:lang w:val="en-US"/>
        </w:rPr>
        <w:t>power</w:t>
      </w:r>
      <w:r>
        <w:rPr>
          <w:rFonts w:ascii="Times New Roman CYR" w:hAnsi="Times New Roman CYR" w:cs="Times New Roman CYR"/>
          <w:sz w:val="28"/>
          <w:szCs w:val="28"/>
        </w:rPr>
        <w:t>». С этой целью установлены партнерские отношения с разработчиками указанных технологий и ведутся переговоры с потенциальными заказчиками в странах Юго-Восточной Азии.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Общество ставит перед собой следующие цели: максимизация эффективности деятельности и улучшение ключевых финансовых показателей. Для достижения указанных целей Общество планирует в 2012-2013 годах продолжить укреплять свои позиции в качестве крупной инжиниринговой </w:t>
      </w:r>
      <w:r>
        <w:rPr>
          <w:rFonts w:ascii="Times New Roman CYR" w:hAnsi="Times New Roman CYR" w:cs="Times New Roman CYR"/>
          <w:sz w:val="28"/>
          <w:szCs w:val="28"/>
        </w:rPr>
        <w:lastRenderedPageBreak/>
        <w:t>компании «полного цикла» (т.е. от разработки проекта, поставки оборудования и его монтажа до запуска энергообъекта в эксплуатацию) на рынках России, стран СНГ, а также Европы, Азии, Африки, Латинской Америки путем заключения новых контрактов и завершения текущих проектов в установленные сроки, с надлежащим качеством.</w:t>
      </w: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 Методика анализа финансово-хозяйственной деятельности компании</w:t>
      </w:r>
    </w:p>
    <w:p w:rsidR="003A5550" w:rsidRDefault="003A5550">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2.1 Анализ имущественного положения компании</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имущественного положения компании начинается с анализа активов и пассивов баланса. Наибольшую роль в качестве информационного источника финансового анализа играет форма № 1 "Баланс предприятия", поэтому финансовый анализ иногда называют анализом баланса. Бухгалтерский баланс представляет собой определенную форму отражения направлений использования авансированного капитала компании (активы) и источников его финансирования (пассивы). Анализ баланса будет осуществляться в следующей последовательности: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агрегированного баланса;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горизонтальный анализ баланса;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вертикальный анализ баланса.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использовать баланс для проведения анализа финансового состояния предприятия, рекомендуется преобразовать исходную его форму в агрегированный вид.</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Агрегирование баланса - это объединение однородных по экономическому содержанию статей баланса. Форма агрегированного баланса более удобна для чтения и проведения анализа, она позволяет выделить ключевые элементы, характеризующие состояние предприятия. Кроме того, подобная форма представления информации близка к используемым в мировой практике формам Балансовых отчетов. Корректное агрегирование статей бухгалтерского баланса является основой проведения качественного анализа. На основании статей агрегированного баланса рассчитываются большинство показателей, </w:t>
      </w:r>
      <w:r>
        <w:rPr>
          <w:rFonts w:ascii="Times New Roman CYR" w:hAnsi="Times New Roman CYR" w:cs="Times New Roman CYR"/>
          <w:sz w:val="28"/>
          <w:szCs w:val="28"/>
        </w:rPr>
        <w:lastRenderedPageBreak/>
        <w:t>использующихся для характеристики финансового положения организации - коэффициенты ликвидности, финансовой устойчивости, оборачиваемости.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Рекомендуемый подход к агрегированию баланса имеет следующие особенности: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составлении агрегированного баланса сохраняется структура исходного баланса - выделение постоянных и текущих активов, собственного и заемного капитала, сохраняется равенство общих величин (сальдо) актива и пассива баланса. Однако внутри разделов осуществляется ряд преобразований.</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агрегированный баланс представляет собой более компактную и поэтому более аналитичную форму баланса, которая получается в результате объединения аналогичных статей активов и пассивов отчетного баланса.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активы агрегированного баланса включают два раздела "Постоянные активы" и "Текущие активы".</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После составления агрегированного баланса необходимо првести горизонтальный и вертикальный анализ.</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Горизонтальный анализ отчетности заключается в построении одной или нескольких аналитических таблиц, в которых приводятся величины изменений статей отчетности в абсолютном выражении.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Горизонтальный анализ проводится для получения общего представления о развитии предприятия, он позволяет оценить и проследить динамику относительного изменения различных групп активов и пассивов по сравнению с предшествующим периодом: произошло ли изменение удельного веса какого-либо из разделов баланса или группы статей. Цель горизонтального анализа состоит в том, чтобы выявить абсолютные и относительные изменения величин различных статей баланса за определенный период, дать оценку этим изменениям.</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Вертикальный анализ показывает структуру средств предприятия и их </w:t>
      </w:r>
      <w:r>
        <w:rPr>
          <w:rFonts w:ascii="Times New Roman CYR" w:hAnsi="Times New Roman CYR" w:cs="Times New Roman CYR"/>
          <w:sz w:val="28"/>
          <w:szCs w:val="28"/>
        </w:rPr>
        <w:lastRenderedPageBreak/>
        <w:t>источников, а также динамику изменения структуры как следствие абсолютного изменения отдельных статей баланса, которые описываются горизонтальным анализом. Можно выделить две основные черты, обусловливающие необходимость и целесообразность проведения вертикального анализа: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переход к относительным показателям позволяет проводить межхозяйственные сравнения экономического потенциала и результатов деятельности предприятий, различающихся по величине используемых ресурсов и другим объемным показателям;</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относительные показатели в определенной степени сглаживают негативное влияние инфляционных процессов, которые могут существенно искажать абсолютные показатели финансовой отчетности и тем самым затруднять их сопоставление в динамике. Для обеспечения сопоставимости исследуемых данных по статьям и разделам баланса на начало и конец исследуемого периода либо за ряд лет анализ проводится на основе удельных показателей, рассчитываемых к валюте баланса, которая принимается за 100%. При этом рекомендуется определять как изменения данных показателей в структуре баланса, так и направленность изменений.</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2.2 Анализ финансового состояния компании</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финансового состояния начинается с анализа ликвидности и платежеспособности.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Способность предприятия вовремя и без задержки платить по своим краткосрочным обязательствам называется ликвидностью. Цель анализа ликвидности - это способность предприятия своевременно и в полном объеме отвечать по текущим обязательствам за счет текущих активов. Иначе говоря, предприятие считается ликвидным, если оно в состоянии выполнить свои </w:t>
      </w:r>
      <w:r>
        <w:rPr>
          <w:rFonts w:ascii="Times New Roman CYR" w:hAnsi="Times New Roman CYR" w:cs="Times New Roman CYR"/>
          <w:sz w:val="28"/>
          <w:szCs w:val="28"/>
        </w:rPr>
        <w:lastRenderedPageBreak/>
        <w:t>краткосрочные обязательства, реализуя текущие активы. Основные средства (если только они не приобретаются с целью дальнейшей перепродажи), как правило, не являются источниками погашения текущей задолженности предприятия в силу своей специфической роли в процессе производства и, как правило, из-за затруднительных условий их срочной реализации.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может быть ликвидным в той или иной степени, поскольку в состав текущих активов входят самые разнородные оборотные средства, среди которых имеются как легко реализуемые, так и труднореализуемые. </w:t>
      </w:r>
      <w:r>
        <w:rPr>
          <w:rFonts w:ascii="Times New Roman CYR" w:hAnsi="Times New Roman CYR" w:cs="Times New Roman CYR"/>
          <w:i/>
          <w:iCs/>
          <w:sz w:val="28"/>
          <w:szCs w:val="28"/>
        </w:rPr>
        <w:t>Ликвидность активов</w:t>
      </w:r>
      <w:r>
        <w:rPr>
          <w:rFonts w:ascii="Times New Roman CYR" w:hAnsi="Times New Roman CYR" w:cs="Times New Roman CYR"/>
          <w:sz w:val="28"/>
          <w:szCs w:val="28"/>
        </w:rPr>
        <w:t xml:space="preserve"> - это способность активов трансформироваться в денежные средства, а степень ликвидности определяется продолжительностью временного периода, в течение которого эта трансформация может быть осуществлена. Чем короче период трансформации, тем выше ликвидность активов.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Платежеспособность</w:t>
      </w:r>
      <w:r>
        <w:rPr>
          <w:rFonts w:ascii="Times New Roman CYR" w:hAnsi="Times New Roman CYR" w:cs="Times New Roman CYR"/>
          <w:sz w:val="28"/>
          <w:szCs w:val="28"/>
        </w:rPr>
        <w:t xml:space="preserve"> - это способность предприятия своевременно и полностью выполнить свои платежные обязательства, вытекающие из торговых, кредитных и иных операций платежного характера.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признаками платежеспособности являются: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в достаточном объеме средств на расчетном счете</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просроченной кредиторской задолженности.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анализа ликвидности решаются следующие задачи:</w:t>
      </w:r>
    </w:p>
    <w:p w:rsidR="003A5550" w:rsidRDefault="004A2985">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оценка достаточности средств, для покрытия обязательств, сроки которых истекают в соответствующие периоды;</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определение суммы ликвидных средств и проверка их достаточности для выполнения срочных обязательств;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в составе краткосрочных пассивов обычно выделяются обязательства различной степени срочности. Отсюда одним из способов оценки ликвидности на стадии предварительного анализа является сопоставление </w:t>
      </w:r>
      <w:r>
        <w:rPr>
          <w:rFonts w:ascii="Times New Roman CYR" w:hAnsi="Times New Roman CYR" w:cs="Times New Roman CYR"/>
          <w:sz w:val="28"/>
          <w:szCs w:val="28"/>
        </w:rPr>
        <w:lastRenderedPageBreak/>
        <w:t>определенных элементов актива и пассива между собой. С этой целью обязательства предприятия группируются по степени их срочности, а его активы - по степени ликвидности (скорости возможной реализации). Так, наиболее срочные обязательства предприятия (срок оплаты которых наступает в текущем месяце) сопоставляются с величиной активов, обладающих максимальной ликвидностью (денежные средства, легко реализуемые ценные бумаги). При этом часть срочных обязательств, остающихся необеспеченными, должна уравновешиваться менее ликвидными активами - дебиторской задолженностью предприятий с устойчивым финансовым положением, легко реализуемыми запасами товарно-материальных ценностей. Прочие краткосрочные обязательства соотносятся с такими активами, как дебиторы, готовая продукция, производственные запасы.</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ликвидности баланса предлагается рассчитать следующие коэффициенты:</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Коэффициент общей ликвидности, как </w:t>
      </w:r>
      <w:r>
        <w:rPr>
          <w:rFonts w:ascii="Times New Roman CYR" w:hAnsi="Times New Roman CYR" w:cs="Times New Roman CYR"/>
          <w:i/>
          <w:iCs/>
          <w:sz w:val="28"/>
          <w:szCs w:val="28"/>
        </w:rPr>
        <w:t>отношение текущих активов к текущим пассивам</w:t>
      </w:r>
      <w:r>
        <w:rPr>
          <w:rFonts w:ascii="Times New Roman CYR" w:hAnsi="Times New Roman CYR" w:cs="Times New Roman CYR"/>
          <w:sz w:val="28"/>
          <w:szCs w:val="28"/>
        </w:rPr>
        <w:t xml:space="preserve"> компании. Нормативное значение показателя: больше 2. Данный показатель является наиболее общим. Совпадение его значения с нормативным является необходимым, но не достаточным условием для оценки финансового состояния предприятия как удовлетворительного.</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Коэффициент быстрой (срочной) ликвидности, как </w:t>
      </w:r>
      <w:r>
        <w:rPr>
          <w:rFonts w:ascii="Times New Roman CYR" w:hAnsi="Times New Roman CYR" w:cs="Times New Roman CYR"/>
          <w:i/>
          <w:iCs/>
          <w:sz w:val="28"/>
          <w:szCs w:val="28"/>
        </w:rPr>
        <w:t>отношение текущих активов за вычетом запасов к текущим пассивам</w:t>
      </w:r>
      <w:r>
        <w:rPr>
          <w:rFonts w:ascii="Times New Roman CYR" w:hAnsi="Times New Roman CYR" w:cs="Times New Roman CYR"/>
          <w:sz w:val="28"/>
          <w:szCs w:val="28"/>
        </w:rPr>
        <w:t>. Нормативное значение показателя: более 1.</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Коэффициент абсолютной ликвидности, как </w:t>
      </w:r>
      <w:r>
        <w:rPr>
          <w:rFonts w:ascii="Times New Roman CYR" w:hAnsi="Times New Roman CYR" w:cs="Times New Roman CYR"/>
          <w:i/>
          <w:iCs/>
          <w:sz w:val="28"/>
          <w:szCs w:val="28"/>
        </w:rPr>
        <w:t>отношение суммы денежных средств компании к общей сумме текущих пассивов</w:t>
      </w:r>
      <w:r>
        <w:rPr>
          <w:rFonts w:ascii="Times New Roman CYR" w:hAnsi="Times New Roman CYR" w:cs="Times New Roman CYR"/>
          <w:sz w:val="28"/>
          <w:szCs w:val="28"/>
        </w:rPr>
        <w:t>. Нормативное значение показателя: от 0,05 до 0,2.</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покрытия, как</w:t>
      </w:r>
      <w:r>
        <w:rPr>
          <w:rFonts w:ascii="Times New Roman CYR" w:hAnsi="Times New Roman CYR" w:cs="Times New Roman CYR"/>
          <w:b/>
          <w:bCs/>
          <w:sz w:val="28"/>
          <w:szCs w:val="28"/>
        </w:rPr>
        <w:t xml:space="preserve"> </w:t>
      </w:r>
      <w:r>
        <w:rPr>
          <w:rFonts w:ascii="Times New Roman CYR" w:hAnsi="Times New Roman CYR" w:cs="Times New Roman CYR"/>
          <w:i/>
          <w:iCs/>
          <w:sz w:val="28"/>
          <w:szCs w:val="28"/>
        </w:rPr>
        <w:t xml:space="preserve">отношение прибыли до выплаты процентов и налогов к процентам к уплате. </w:t>
      </w:r>
      <w:r>
        <w:rPr>
          <w:rFonts w:ascii="Times New Roman CYR" w:hAnsi="Times New Roman CYR" w:cs="Times New Roman CYR"/>
          <w:sz w:val="28"/>
          <w:szCs w:val="28"/>
        </w:rPr>
        <w:t xml:space="preserve">Характеризует способность предприятия </w:t>
      </w:r>
      <w:r>
        <w:rPr>
          <w:rFonts w:ascii="Times New Roman CYR" w:hAnsi="Times New Roman CYR" w:cs="Times New Roman CYR"/>
          <w:sz w:val="28"/>
          <w:szCs w:val="28"/>
        </w:rPr>
        <w:lastRenderedPageBreak/>
        <w:t>рассчитаться по % за кредит. Нормальным считается значение показателя от 3 до 4. Если значение коэффициента становится меньше 1, это означает, что фирма не создаёт достаточного денежного потока из операционной прибыли для обслуживания процентных платежей.</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показателей финансового состояния компании является финансовая устойчивость.</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анализа финансовой устойчивости является оценка способности предприятия погашать свои обязательства и сохранять право владения предприятием в долгосрочной перспективе.</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финансовой устойчивости строится на основе анализа структуры источников финансирования компании (пассивов) и направлений использования собственного капитала. Наиболее надежным источником является собственный капитал. Поэтому, чем больше доля собственного капитала в общей сумме пассивов компании, тем надежнее положение компании в долгосрочной перспективе.</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собственный капитал является самым дорогим источником финансирования компании. Вследствие этого возникает проблема - более высокая финансовая стабильность требует дополнительных финансовых издержек. Не существует каких-либо жестко установленных нормативных значений доли собственного капитала в пассивах компании, тем более, что она зависит от сферы деятельности организации.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анализа данной стороны предприятия были рассчитаны следующие коэффициенты:</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Коэффициент концентрации собственного капитала, как отношение собственного капитала к общей сумме пассивов. Определяет долю средств, инвестированных в деятельность предприятия его владельцами. Чем выше значение этого коэффициента, тем более финансово устойчиво, стабильно и </w:t>
      </w:r>
      <w:r>
        <w:rPr>
          <w:rFonts w:ascii="Times New Roman CYR" w:hAnsi="Times New Roman CYR" w:cs="Times New Roman CYR"/>
          <w:sz w:val="28"/>
          <w:szCs w:val="28"/>
        </w:rPr>
        <w:lastRenderedPageBreak/>
        <w:t>независимо от внешних кредиторов предприятие.</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концентрации заемных средств, как отношение заемных средств к общей сумме пассивов. Определяет долю привлеченных средств.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автономии, как отношение собственных источников финансирования к заемным средствам (долгосрочным и краткосрочным) и показывает, какое количество собственных средств приходится на каждый рубль заемного капитала.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маневренности, как отношение чистого оборотного капитала к собственному капиталу. Показывает, какая часть собственного капитала используется для финансирования текущей деятельности.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Доля собственных оборотных средств в общей сумме, как отношение чистого оборотного капитала к текущим активам. Показывает, какая часть текущих активов образована за счет собственных средств.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обеспечения запасов собственными источниками финансирования, как отношение чистого оборотного капитала к сумме материально-производственных запасов, незавершенного производства и готовой продукции. Данный коэффициент характеризует степень покрытия запасов и затрат собственными источниками финансирования.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обеспеченности долгосрочными инвестициями, как отношение постоянных активов к сумме собственных средств и долгосрочных обязательств. Показывает, какая часть собственных средств и долгосрочных обязательств направлена на финансирование постоянных активов.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Следующий показатель финансового состояния - это чистые активы. Чистые активы - это реальная стоимость имеющегося у общества имущества, ежегодно определяемая за вычетом его долгов.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Чистые активы как показатель можно использовать в достаточно широком диапазоне для аналитического обоснования управленческого решения: при </w:t>
      </w:r>
      <w:r>
        <w:rPr>
          <w:rFonts w:ascii="Times New Roman CYR" w:hAnsi="Times New Roman CYR" w:cs="Times New Roman CYR"/>
          <w:sz w:val="28"/>
          <w:szCs w:val="28"/>
        </w:rPr>
        <w:lastRenderedPageBreak/>
        <w:t>определении финансовой устойчивости предприятия, оценке его инвестиционной привлекательности, определении дивидендной политики, подготовке проспекта эмиссии, для регулирования соотношения между собственным и заемным капиталом и т.д.</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Практическое использование чистых активов изначально предполагает выяснение их экономической природы, принципов и правил оценки как специфической процедуры, предшествующей принятию решения, касающегося, например, регулирования.</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Разница между активами и обязательствами компании (равна собственному капиталу &lt;http://ru.wikipedia.org/wiki/%D0%A1%D0%BE%D0%B1%D1%81%D1%82%D0%B2%D0%B5%D0%BD%D0%BD%D1%8B%D0%B9_%D0%BA%D0%B0%D0%BF%D0%B8%D1%82%D0%B0%D0%BB&gt; компании). </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Чистые активы рассчитывают по формуле (2.1).</w:t>
      </w:r>
    </w:p>
    <w:p w:rsidR="003A5550" w:rsidRDefault="003A5550">
      <w:pPr>
        <w:widowControl w:val="0"/>
        <w:autoSpaceDE w:val="0"/>
        <w:autoSpaceDN w:val="0"/>
        <w:adjustRightInd w:val="0"/>
        <w:spacing w:after="0" w:line="240" w:lineRule="auto"/>
        <w:ind w:firstLine="709"/>
        <w:rPr>
          <w:rFonts w:ascii="Times New Roman CYR" w:hAnsi="Times New Roman CYR" w:cs="Times New Roman CYR"/>
          <w:i/>
          <w:iCs/>
          <w:sz w:val="28"/>
          <w:szCs w:val="28"/>
        </w:rPr>
      </w:pP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i/>
          <w:iCs/>
          <w:sz w:val="28"/>
          <w:szCs w:val="28"/>
        </w:rPr>
        <w:t xml:space="preserve">СК = ВА + ОА - ДО - КО + ДОХ. БУД. ПЕРИОДОВ </w:t>
      </w:r>
      <w:r>
        <w:rPr>
          <w:rFonts w:ascii="Times New Roman CYR" w:hAnsi="Times New Roman CYR" w:cs="Times New Roman CYR"/>
          <w:sz w:val="28"/>
          <w:szCs w:val="28"/>
        </w:rPr>
        <w:t>(2.1),</w:t>
      </w: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5550" w:rsidRDefault="004A2985">
      <w:pPr>
        <w:widowControl w:val="0"/>
        <w:autoSpaceDE w:val="0"/>
        <w:autoSpaceDN w:val="0"/>
        <w:adjustRightInd w:val="0"/>
        <w:spacing w:after="0" w:line="240" w:lineRule="auto"/>
        <w:ind w:firstLine="709"/>
        <w:rPr>
          <w:rFonts w:ascii="Times New Roman CYR" w:hAnsi="Times New Roman CYR" w:cs="Times New Roman CYR"/>
          <w:i/>
          <w:iCs/>
          <w:sz w:val="28"/>
          <w:szCs w:val="28"/>
        </w:rPr>
      </w:pPr>
      <w:r>
        <w:rPr>
          <w:rFonts w:ascii="Times New Roman CYR" w:hAnsi="Times New Roman CYR" w:cs="Times New Roman CYR"/>
          <w:sz w:val="28"/>
          <w:szCs w:val="28"/>
        </w:rPr>
        <w:t>где ВА - вне оборотные активы, ОА - оборотные активы, ДО - долгосрочные обязательства, КО - краткосрочные обязательства.</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показателей самофинансирования является частью анализа финансового состояния компании.</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Цель анализа - проанализировать выбранные компанией принципы распоряжения собственным капиталом.</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Основным источником повышения собственного капитала является чистая прибыль. Она может быть направлена на:</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Выплату дивидендов</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Поддержку социальной сферы</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Выплату процентов по кредитам</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Оплата штрафов, пений</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самофинансирования показывает, какая часть чистой прибыли предприятия направлена на его развитие, то есть на увеличение накопленного капитала, и рассчитывается по формуле (2.2).</w:t>
      </w: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Источником информации о приросте накопленного капитала является агрегированный баланс. Чистая прибыль определяется за интервал анализа (не нарастающим итогом) по данным отчета о финансовых результатах.</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Логично предположить, что, с точки зрения финансового состояния предприятия, основную долю чистой прибыли рационально направлять на увеличение собственного капитала.</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основным направлением использования чистой прибыли являются прочие цели (низкий коэффициент самофинансирования или устойчивая тенденция на его снижение), можно сделать вывод, что предприятие недостаточно эффективно использует потенциал увеличения собственных источников финансирования. Как следствие, может возрастать потребность предприятия в заемных источниках финансирования, которые в настоящее время достаточно «дорогие».</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Значение коэффициента самофинансирования, превышающее 100%, свидетельствует, что рост накопленного капитала связан не только с направлением чистой прибыли на развитие предприятия, но и с ростом прочих составляющих накопленного капитала (например, с получением целевого финансирования).</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отрицательных значениях чистой прибыли либо отрицательных приростах накопленного капитала рассчитывать коэффициент самофинансирования не имеет смысла.</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Прирост собственного капитала может быть направлен на финансирование постоянных активов либо на финансирование оборотного капитала.</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мобилизации накопленного капитала позволяет определить, какая часть прироста накопленного капитала направлена на увеличение оборотных средств.</w:t>
      </w: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5550" w:rsidRDefault="00DB714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84500" cy="5016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4500" cy="501650"/>
                    </a:xfrm>
                    <a:prstGeom prst="rect">
                      <a:avLst/>
                    </a:prstGeom>
                    <a:noFill/>
                    <a:ln>
                      <a:noFill/>
                    </a:ln>
                  </pic:spPr>
                </pic:pic>
              </a:graphicData>
            </a:graphic>
          </wp:inline>
        </w:drawing>
      </w: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Значение коэффициента мобилизации, превышающее 100%, свидетельствует о том, что финансирование чистого оборотного капитала осуществлялось не только за счет собственных средств, но и за счет выбытия (продажи) части постоянных активов.</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отрицательных значениях прироста оборотных средств и (или) накопленного капитала рассчитывать коэффициент мобилизации нецелесообразно.</w:t>
      </w:r>
    </w:p>
    <w:p w:rsidR="003A5550" w:rsidRDefault="004A2985">
      <w:pPr>
        <w:widowControl w:val="0"/>
        <w:tabs>
          <w:tab w:val="left" w:pos="277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логику проведения анализа самофинансирования можно представить так: вначале определяется, какая часть чистой прибыли </w:t>
      </w:r>
      <w:r>
        <w:rPr>
          <w:rFonts w:ascii="Times New Roman CYR" w:hAnsi="Times New Roman CYR" w:cs="Times New Roman CYR"/>
          <w:sz w:val="28"/>
          <w:szCs w:val="28"/>
        </w:rPr>
        <w:lastRenderedPageBreak/>
        <w:t>направляется на увеличение накопленного капитала, и далее - на финансирование оборотных средств либо постоянных активов.</w:t>
      </w:r>
    </w:p>
    <w:p w:rsidR="003A5550" w:rsidRDefault="004A2985">
      <w:pPr>
        <w:widowControl w:val="0"/>
        <w:tabs>
          <w:tab w:val="left" w:pos="277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денежных потоков завершает анализ финансового состояния компании. Анализ денежных средств включает в себя расчет времени обращения денежных средств (финансовый цикл), анализ денежного потока, его прогнозирование, определение оптимального уровня денежных средств, составление бюджетов денежных средств и т.п. В данном разделе проведем анализ денежных потоков.</w:t>
      </w:r>
    </w:p>
    <w:p w:rsidR="003A5550" w:rsidRDefault="004A2985">
      <w:pPr>
        <w:widowControl w:val="0"/>
        <w:tabs>
          <w:tab w:val="left" w:pos="277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Денежный поток - это денежные средства, под которыми понимаются депозитные (или текущие) счета и наличные деньги, получаемые предприятием от всех видов деятельности и расходуемые на обеспечение дальнейшей деятельности.</w:t>
      </w:r>
    </w:p>
    <w:p w:rsidR="003A5550" w:rsidRDefault="004A2985">
      <w:pPr>
        <w:widowControl w:val="0"/>
        <w:tabs>
          <w:tab w:val="left" w:pos="277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Движение денежных средств, получаемых и расходуемых предприятием в наличной и безналичной форме, называют в финансовом менеджменте денежными потоками. Эти потоки бывают двух видов: положительные и отрицательные. Положительные потоки (притоки) отражают поступление денег на предприятие, отрицательные (оттоки) - выбытие или расходование денег предприятием. Все денежные потоки предприятия объединяются в три основные группы: потоки от операционной, инвестиционной и финансовой деятельности, которые в свою очередь подразделяются на притоки и оттоки денежных средств.</w:t>
      </w:r>
    </w:p>
    <w:p w:rsidR="003A5550" w:rsidRDefault="003A5550">
      <w:pPr>
        <w:widowControl w:val="0"/>
        <w:tabs>
          <w:tab w:val="left" w:pos="2775"/>
        </w:tabs>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2.3 Анализ деловой активности компании</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широком смысле деловая активность означает весь спектр усилий, направленных на продвижение фирмы на рынках продукции, труда, капитала. В контексте анализа финансово-хозяйственной деятельности этот термин понимается в более узком смысле - как текущая производственная и </w:t>
      </w:r>
      <w:r>
        <w:rPr>
          <w:rFonts w:ascii="Times New Roman CYR" w:hAnsi="Times New Roman CYR" w:cs="Times New Roman CYR"/>
          <w:sz w:val="28"/>
          <w:szCs w:val="28"/>
        </w:rPr>
        <w:lastRenderedPageBreak/>
        <w:t>коммерческая деятельность предприятия.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Деловая активность коммерческой организации проявляется в динамичности ее развития, достижении ею поставленных целей, что отражают натуральные и стоимостные показатели, в эффективном использовании экономического потенциала, расширении рынков сбыта своей продукции.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Деловая активность коммерческой организации проявляется в динамичности ее развития, достижении поставленных целей, в эффективном использовании экономического потенциала, расширении рынков сбыта своей продукции.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«Золотое правило экономики предприятия»</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&lt; Те &lt; Т</w:t>
      </w:r>
      <w:r>
        <w:rPr>
          <w:rFonts w:ascii="Times New Roman CYR" w:hAnsi="Times New Roman CYR" w:cs="Times New Roman CYR"/>
          <w:i/>
          <w:iCs/>
          <w:sz w:val="28"/>
          <w:szCs w:val="28"/>
          <w:lang w:val="en-US"/>
        </w:rPr>
        <w:t>r</w:t>
      </w:r>
      <w:r>
        <w:rPr>
          <w:rFonts w:ascii="Times New Roman CYR" w:hAnsi="Times New Roman CYR" w:cs="Times New Roman CYR"/>
          <w:i/>
          <w:iCs/>
          <w:sz w:val="28"/>
          <w:szCs w:val="28"/>
        </w:rPr>
        <w:t xml:space="preserve"> &lt;</w:t>
      </w:r>
      <w:r>
        <w:rPr>
          <w:rFonts w:ascii="Times New Roman CYR" w:hAnsi="Times New Roman CYR" w:cs="Times New Roman CYR"/>
          <w:i/>
          <w:iCs/>
          <w:sz w:val="28"/>
          <w:szCs w:val="28"/>
          <w:lang w:val="en-US"/>
        </w:rPr>
        <w:t>T</w:t>
      </w:r>
      <w:r>
        <w:rPr>
          <w:rFonts w:ascii="Times New Roman CYR" w:hAnsi="Times New Roman CYR" w:cs="Times New Roman CYR"/>
          <w:i/>
          <w:iCs/>
          <w:sz w:val="28"/>
          <w:szCs w:val="28"/>
        </w:rPr>
        <w:t xml:space="preserve">р </w:t>
      </w:r>
      <w:r>
        <w:rPr>
          <w:rFonts w:ascii="Times New Roman CYR" w:hAnsi="Times New Roman CYR" w:cs="Times New Roman CYR"/>
          <w:sz w:val="28"/>
          <w:szCs w:val="28"/>
        </w:rPr>
        <w:t>(2.4)</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 - темп изменения активов фирмы;</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w:t>
      </w: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 - темп изменения объема реализации;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T</w:t>
      </w:r>
      <w:r>
        <w:rPr>
          <w:rFonts w:ascii="Times New Roman CYR" w:hAnsi="Times New Roman CYR" w:cs="Times New Roman CYR"/>
          <w:sz w:val="28"/>
          <w:szCs w:val="28"/>
        </w:rPr>
        <w:t>р - темп изменения прибыли.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Неравенства, рассматриваемые слева направо, имеют очевидную экономическую интерпретацию. Так, первое неравенство означает, что экономический потенциал коммерческой организации возрастает, т.е. масштабы его деятельности увеличиваются. Как уже отмечалось выше, наращивание активов компании, иными словами, увеличение ее размеров, нередко является одной из основных целевых установок, формулируемых собственниками компании и ее управленческим персоналом в явной или неявной форме. Второе неравенство указывает на то, что по сравнению с увеличением экономического потенциала объем реализации возрастает более высокими темпами, т.е. ресурсы коммерческой организации используются более эффективно, повышается отдача с каждого рубля, вложенного в компанию. Из третьего неравенства видно, что </w:t>
      </w:r>
      <w:r>
        <w:rPr>
          <w:rFonts w:ascii="Times New Roman CYR" w:hAnsi="Times New Roman CYR" w:cs="Times New Roman CYR"/>
          <w:sz w:val="28"/>
          <w:szCs w:val="28"/>
        </w:rPr>
        <w:lastRenderedPageBreak/>
        <w:t>прибыль возрастает опережающими темпами, что свидетельствует, как правило, об имевшемся в отчетном периоде относительном снижении издержек производства и обращения как результате действий, направленных на оптимизацию технологического процесса и взаимоотношений с контрагентами.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Безусловно, возможны и отклонения от этой идеальной зависимости, причем не всегда их следует рассматривать как негативные. В частности, весьма распространенными причинами нарушения системы неравенств являются: освоение новых перспективных направлений приложения капитала, реконструкция и модернизация действующих производств и т.п. Такая деятельность всегда сопряжена со значительными вложениями финансовых ресурсов, которые по большей части не дают сиюминутной выгоды, но в перспективе могут окупиться с лихвой.</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в отдельных случаях (активное инвестирование, освоение новых сфер деятельности) «золотое правило» может в краткосрочном периоде не выполняться, однако, это еще не означает, что в долгосрочном периоде предприятие действует неэффективно.</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анализа динамичности развития, достижении поставленных целей, в эффективном использовании экономического потенциала, расширении рынков сбыта своей продукции компании целесообразно провести анализ оборачиваемости.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анализа оборачиваемости - оценить способность предприятия приносить доход путем совершенствования оборота «Деньги - Товар - Деньги».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оборачиваемости включает:</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оборачиваемости текущих активов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оборачиваемости текущих пассивов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оборачиваемости предполагает расчет коэффициентов оборачиваемости и периодов оборота: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Коэффициент оборачиваемости активов:</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40050" cy="508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0050" cy="508000"/>
                    </a:xfrm>
                    <a:prstGeom prst="rect">
                      <a:avLst/>
                    </a:prstGeom>
                    <a:noFill/>
                    <a:ln>
                      <a:noFill/>
                    </a:ln>
                  </pic:spPr>
                </pic:pic>
              </a:graphicData>
            </a:graphic>
          </wp:inline>
        </w:drawing>
      </w: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Данный коэффициент показывает, сколько раз за период «обернулся» рассматриваемый актив.</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Период оборота запасов и материалов:</w:t>
      </w: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5550" w:rsidRDefault="00DB714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79650" cy="3873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9650" cy="387350"/>
                    </a:xfrm>
                    <a:prstGeom prst="rect">
                      <a:avLst/>
                    </a:prstGeom>
                    <a:noFill/>
                    <a:ln>
                      <a:noFill/>
                    </a:ln>
                  </pic:spPr>
                </pic:pic>
              </a:graphicData>
            </a:graphic>
          </wp:inline>
        </w:drawing>
      </w: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Характеризует среднюю продолжительность срока хранения производственных запасов на складе (средний период закупки материалов).</w:t>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Период оборота дебиторской задолженности:</w:t>
      </w: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5550" w:rsidRDefault="00DB714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81300" cy="520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520700"/>
                    </a:xfrm>
                    <a:prstGeom prst="rect">
                      <a:avLst/>
                    </a:prstGeom>
                    <a:noFill/>
                    <a:ln>
                      <a:noFill/>
                    </a:ln>
                  </pic:spPr>
                </pic:pic>
              </a:graphicData>
            </a:graphic>
          </wp:inline>
        </w:drawing>
      </w:r>
      <w:r w:rsidR="004A2985">
        <w:rPr>
          <w:rFonts w:ascii="Times New Roman CYR" w:hAnsi="Times New Roman CYR" w:cs="Times New Roman CYR"/>
          <w:sz w:val="28"/>
          <w:szCs w:val="28"/>
        </w:rPr>
        <w:t>(2.7)</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Характеризует средний срок кредита, предоставленного покупателям, или сколько в среднем дней «омертвлены» денежные средства в дебиторской задолженности.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Период оборота прочих текущих активов</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00400" cy="520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520700"/>
                    </a:xfrm>
                    <a:prstGeom prst="rect">
                      <a:avLst/>
                    </a:prstGeom>
                    <a:noFill/>
                    <a:ln>
                      <a:noFill/>
                    </a:ln>
                  </pic:spPr>
                </pic:pic>
              </a:graphicData>
            </a:graphic>
          </wp:inline>
        </w:drawing>
      </w:r>
      <w:r w:rsidR="004A2985">
        <w:rPr>
          <w:rFonts w:ascii="Times New Roman CYR" w:hAnsi="Times New Roman CYR" w:cs="Times New Roman CYR"/>
          <w:sz w:val="28"/>
          <w:szCs w:val="28"/>
        </w:rPr>
        <w:t>(2.8)</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Период оборота кредиторской задолженности:</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25900" cy="444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5900" cy="444500"/>
                    </a:xfrm>
                    <a:prstGeom prst="rect">
                      <a:avLst/>
                    </a:prstGeom>
                    <a:noFill/>
                    <a:ln>
                      <a:noFill/>
                    </a:ln>
                  </pic:spPr>
                </pic:pic>
              </a:graphicData>
            </a:graphic>
          </wp:inline>
        </w:drawing>
      </w:r>
      <w:r w:rsidR="004A2985">
        <w:rPr>
          <w:rFonts w:ascii="Times New Roman CYR" w:hAnsi="Times New Roman CYR" w:cs="Times New Roman CYR"/>
          <w:sz w:val="28"/>
          <w:szCs w:val="28"/>
        </w:rPr>
        <w:t xml:space="preserve"> (2.9)</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Характеризует срок кредита, предоставляемого предприятию поставщиком </w:t>
      </w:r>
      <w:r>
        <w:rPr>
          <w:rFonts w:ascii="Times New Roman CYR" w:hAnsi="Times New Roman CYR" w:cs="Times New Roman CYR"/>
          <w:sz w:val="28"/>
          <w:szCs w:val="28"/>
        </w:rPr>
        <w:lastRenderedPageBreak/>
        <w:t>(т.е. средний срок оплаты предприятием полученных счетов).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анализа оборачиваемости можно провести анализ финансового цикла.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Финансовый цикл - период времени, в течении которого компания вынуждена привлекать платные источники финансирования.</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19500" cy="1695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 Этапы обращения денежных средств</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рассматривать этот процесс с точки зрения движения денежных средств, то деньги «ушли из фирмы» в момент расчетов с поставщиками, который по времени не совпадает с моментом поставки сырья и материалов и началом производства, и «вернулись» в момент поступления денежных средств от покупателя. Таким образом, финансовый цикл (цикл денежного оборота) предприятия представляет собой период времени между началом погашением кредиторской задолженности и погашением дебиторской задолженности.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период времени может быть определен как разница между операционным циклом (производственный цикл плюс период обращения дебиторской задолженности) и кредитным циклом.</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ФЦ = ОЦ - КЦ (2.10),</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ФЦ - финансовый цикл или период обращения денежных средств, ОЦ - </w:t>
      </w:r>
      <w:r>
        <w:rPr>
          <w:rFonts w:ascii="Times New Roman CYR" w:hAnsi="Times New Roman CYR" w:cs="Times New Roman CYR"/>
          <w:sz w:val="28"/>
          <w:szCs w:val="28"/>
        </w:rPr>
        <w:lastRenderedPageBreak/>
        <w:t>операционный цикл, равен продолжительности производственного цикла и времени обращения кредиторской задолженности, КЦ - кредитный цикл.</w:t>
      </w: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2.4 Анализ финансовых результатов компании</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финансовых результатов компании проводится на основе отчета о прибылях и убытках. Это одна из основных форм бухгалтерской отчетности &lt;http://ru.wikipedia.org/wiki/%D0%91%D1%83%D1%85%D0%B3%D0%B0%D0%BB%D1%82%D0%B5%D1%80%D1%81%D0%BA%D0%B0%D1%8F_%D0%BE%D1%82%D1%87%D0%B5%D1%82%D0%BD%D0%BE%D1%81%D1%82%D1%8C&gt; (форма № 2), которая характеризует финансовые результаты деятельности организации за отчетный период &lt;http://ru.wikipedia.org/wiki/%D0%9E%D1%82%D1%87%D0%B5%D1%82%D0%BD%D1%8B%D0%B9_%D0%BF%D0%B5%D1%80%D0%B8%D0%BE%D0%B4&gt; и содержит данные о доходах, расходах и финансовых результатах в сумме нарастающим итогом с начала года до отчетной даты.</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Доходами организации признается увеличение экономических выгод в результате поступления активов (денежных средств, иного имущества) и (или) погашения обязательств, приводящее к увеличению капитала этой организации, за исключением вкладов участников (собственников имущества).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Расходами организации признается уменьшение экономических выгод в результате выбытия активов (денежных средств, иного имущества) и (или) возникновения обязательств, приводящее к уменьшению капитала этой организации, за исключением уменьшения вкладов участников (собственников имущества).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основных целей функционирования предприятия является получение прибыли.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 это стоимостная категория, характеризующая конечный результат деятельности экономических субъектов за определенный период времени. Прибыль является одним из важнейших источников собственных средств.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с одной стороны, зависит от качества работы коллектива, а с другой - является основным источником производственного и социального развития предприятия. Следовательно, его работники заинтересованы в </w:t>
      </w:r>
      <w:r>
        <w:rPr>
          <w:rFonts w:ascii="Times New Roman CYR" w:hAnsi="Times New Roman CYR" w:cs="Times New Roman CYR"/>
          <w:sz w:val="28"/>
          <w:szCs w:val="28"/>
        </w:rPr>
        <w:lastRenderedPageBreak/>
        <w:t>эффективном использовании ресурсов и росте прибыли. Вместе с тем прибыль служит важнейшим источником формирования государственного бюджета. Таким образом, в росте суммы прибыли заинтересованы как предприятие, так и государство.</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процессе работы по некоторым хозяйственным операциям у предприятия могут возникать и убытки, которые уменьшают полученную прибыль и снижают рентабельность. Конечный финансовый результат (прибыль или убыток) слагается из финансовых результатов от реализации и доходов от прочих операций, уменьшенных на сумму расходов по этим операциям.</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Различные стороны производственной, сбытовой, снабженческой и финансовой деятельности предприятия получают законченную денежную оценку в системе показателей финансовых результатов. Обобщенно наиболее важные показатели финансовых результатов деятельности предприятия представлены в форме №2</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«Отчет о финансовых результатах и их использовании».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финансовых результатов характеризуют абсолютную эффективность хозяйствования предприятия. Важнейшими среди них являются показатели прибыли. Рост прибыли создает финансовую базу для самофинансирования, расширенного производства, решения проблем социальных и материальных потребностей трудового коллектива. За счет прибыли выполняется часть обязательств предприятия перед бюджетом, банками и другими предприятиями и организациями.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определения прибыли включает в себя: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доходов, относящихся к отчетному периоду;</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затрат отчетного периода.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отчете о прибылях и убытках отражены следующие виды прибыли: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валовая прибыль;</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прибыль (убыток) от продаж;</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(убыток) до налогообложения;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чистая прибыль.</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Сводный факторный анализ, учитывающий совместное влияние доходов и расходов предприятия на величину чистой прибыли, может быть выполнен различными способами. Один из них - проведение так называемого вертикального анализа финансовых результатов. Этот метод заключается в построении аналитической таблицы, предназначенной для характеристики динамики удельного веса основных элементов валового дохода коммерческой организации.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относительные показатели, рассматриваемые в динамике, представляют несомненный интерес, как для пользователей, так и для руководителей компании. Прежде всего сюда относятся: уровень совокупных расходов в общей сумме доходов и поступлений, структура затрат и др.</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Результативность и экономическая целесообразность функционирования предприятия оценивается не только абсолютными, но и относительными показателями, то есть показателями рентабельности.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широком смысле слова понятие рентабельности означает прибыльность, доходность. Предприятие считается рентабельным, если доходы от реализации продукции (работ, услуг) покрывают издержки производства (обращения) и, кроме того, образуют сумму прибыли, достаточную для нормального функционирования предприятия.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 это относительный показатель, определяющий доходность бизнеса. Показатели рентабельности характеризуют эффективность работы предприятия в целом, доходность различных направлений деятельности (производственной, коммерческой, инвестиционной и т.д.). Они более полно, чем прибыль, характеризуют окончательные результаты хозяйствования, потому </w:t>
      </w:r>
      <w:r>
        <w:rPr>
          <w:rFonts w:ascii="Times New Roman CYR" w:hAnsi="Times New Roman CYR" w:cs="Times New Roman CYR"/>
          <w:sz w:val="28"/>
          <w:szCs w:val="28"/>
        </w:rPr>
        <w:lastRenderedPageBreak/>
        <w:t>что их величина показывает соотношение эффекта с наличными или потребленными ресурсами.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Выделяют две основные группы показателей рентабельности: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рентабельности капитала;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рентабельности продаж.</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группе вычисляются следующие показатели рентабельности: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Коэффициент генерирования доходов (ВЕР), который характеризует эффективность использования совокупных ресурсов фирмы и показывает, сколько рублей операционной прибыли приходится на 1 рубль, вложенный в активы данной компании.</w:t>
      </w:r>
    </w:p>
    <w:p w:rsidR="003A5550" w:rsidRDefault="003A5550">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759200" cy="558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9200" cy="558800"/>
                    </a:xfrm>
                    <a:prstGeom prst="rect">
                      <a:avLst/>
                    </a:prstGeom>
                    <a:noFill/>
                    <a:ln>
                      <a:noFill/>
                    </a:ln>
                  </pic:spPr>
                </pic:pic>
              </a:graphicData>
            </a:graphic>
          </wp:inline>
        </w:drawing>
      </w: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Рост ВЕР в динамике рассматривается как положительная тенденция.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Рентабельность всего капитала (рентабельность активов </w:t>
      </w:r>
      <w:r>
        <w:rPr>
          <w:rFonts w:ascii="Times New Roman CYR" w:hAnsi="Times New Roman CYR" w:cs="Times New Roman CYR"/>
          <w:sz w:val="28"/>
          <w:szCs w:val="28"/>
          <w:lang w:val="en-US"/>
        </w:rPr>
        <w:t>ROA</w:t>
      </w:r>
      <w:r>
        <w:rPr>
          <w:rFonts w:ascii="Times New Roman CYR" w:hAnsi="Times New Roman CYR" w:cs="Times New Roman CYR"/>
          <w:sz w:val="28"/>
          <w:szCs w:val="28"/>
        </w:rPr>
        <w:t>) характеризует, сколько чистой прибыли без учета стоимости заемного капитала приходится на 1 рубль всего вложенного капитала.</w:t>
      </w:r>
    </w:p>
    <w:p w:rsidR="003A5550" w:rsidRDefault="003A5550">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240" w:lineRule="auto"/>
        <w:ind w:firstLine="709"/>
        <w:rPr>
          <w:rFonts w:ascii="Times New Roman CYR" w:hAnsi="Times New Roman CYR" w:cs="Times New Roman CYR"/>
          <w:i/>
          <w:iCs/>
          <w:sz w:val="28"/>
          <w:szCs w:val="28"/>
        </w:rPr>
      </w:pPr>
      <w:r>
        <w:rPr>
          <w:rFonts w:ascii="Microsoft Sans Serif" w:hAnsi="Microsoft Sans Serif" w:cs="Microsoft Sans Serif"/>
          <w:noProof/>
          <w:sz w:val="17"/>
          <w:szCs w:val="17"/>
        </w:rPr>
        <w:drawing>
          <wp:inline distT="0" distB="0" distL="0" distR="0">
            <wp:extent cx="5384800" cy="5588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4800" cy="558800"/>
                    </a:xfrm>
                    <a:prstGeom prst="rect">
                      <a:avLst/>
                    </a:prstGeom>
                    <a:noFill/>
                    <a:ln>
                      <a:noFill/>
                    </a:ln>
                  </pic:spPr>
                </pic:pic>
              </a:graphicData>
            </a:graphic>
          </wp:inline>
        </w:drawing>
      </w:r>
    </w:p>
    <w:p w:rsidR="003A5550" w:rsidRDefault="004A2985">
      <w:pPr>
        <w:widowControl w:val="0"/>
        <w:autoSpaceDE w:val="0"/>
        <w:autoSpaceDN w:val="0"/>
        <w:adjustRightInd w:val="0"/>
        <w:spacing w:after="0" w:line="240" w:lineRule="auto"/>
        <w:ind w:firstLine="709"/>
        <w:rPr>
          <w:rFonts w:ascii="Times New Roman CYR" w:hAnsi="Times New Roman CYR" w:cs="Times New Roman CYR"/>
          <w:i/>
          <w:iCs/>
          <w:sz w:val="28"/>
          <w:szCs w:val="28"/>
        </w:rPr>
      </w:pPr>
      <w:r>
        <w:rPr>
          <w:rFonts w:ascii="Times New Roman CYR" w:hAnsi="Times New Roman CYR" w:cs="Times New Roman CYR"/>
          <w:i/>
          <w:iCs/>
          <w:sz w:val="28"/>
          <w:szCs w:val="28"/>
        </w:rPr>
        <w:t>% к уплате в после налоговом исчислении = Проценты к уплате*(1-Т)</w:t>
      </w: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5550" w:rsidRDefault="004A298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 - ставка налога на прибыль (20%).</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Рентабельность собственного капитала (</w:t>
      </w:r>
      <w:r>
        <w:rPr>
          <w:rFonts w:ascii="Times New Roman CYR" w:hAnsi="Times New Roman CYR" w:cs="Times New Roman CYR"/>
          <w:sz w:val="28"/>
          <w:szCs w:val="28"/>
          <w:lang w:val="en-US"/>
        </w:rPr>
        <w:t>ROE</w:t>
      </w:r>
      <w:r>
        <w:rPr>
          <w:rFonts w:ascii="Times New Roman CYR" w:hAnsi="Times New Roman CYR" w:cs="Times New Roman CYR"/>
          <w:sz w:val="28"/>
          <w:szCs w:val="28"/>
        </w:rPr>
        <w:t>) характеризует отдачу на сделанные акционерами инвестиции и показывает, сколько чистой прибыли приходится на 1 руб. собственного капитала.</w:t>
      </w:r>
    </w:p>
    <w:p w:rsidR="003A5550" w:rsidRDefault="003A5550">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162300" cy="558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558800"/>
                    </a:xfrm>
                    <a:prstGeom prst="rect">
                      <a:avLst/>
                    </a:prstGeom>
                    <a:noFill/>
                    <a:ln>
                      <a:noFill/>
                    </a:ln>
                  </pic:spPr>
                </pic:pic>
              </a:graphicData>
            </a:graphic>
          </wp:inline>
        </w:drawing>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эффективности инвестиций дополняются коэффициентами рентабельности продаж. Они характеризуют долю соответствующего вида прибыли в выручке от реализации и показывают, какую часть в каждом рубле выручки от продаж составляют, соответственно, валовая, операционная или чистая прибыль. Рассчитывают три показателя рентабельности продаж:</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Рентабельность продаж (валовая):</w:t>
      </w:r>
    </w:p>
    <w:p w:rsidR="003A5550" w:rsidRDefault="003A5550">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240" w:lineRule="auto"/>
        <w:ind w:firstLine="709"/>
        <w:rPr>
          <w:rFonts w:ascii="Arial CYR" w:hAnsi="Arial CYR" w:cs="Arial CYR"/>
          <w:sz w:val="17"/>
          <w:szCs w:val="17"/>
        </w:rPr>
      </w:pPr>
      <w:r>
        <w:rPr>
          <w:rFonts w:ascii="Microsoft Sans Serif" w:hAnsi="Microsoft Sans Serif" w:cs="Microsoft Sans Serif"/>
          <w:noProof/>
          <w:sz w:val="17"/>
          <w:szCs w:val="17"/>
        </w:rPr>
        <w:drawing>
          <wp:inline distT="0" distB="0" distL="0" distR="0">
            <wp:extent cx="2844800" cy="539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800" cy="539750"/>
                    </a:xfrm>
                    <a:prstGeom prst="rect">
                      <a:avLst/>
                    </a:prstGeom>
                    <a:noFill/>
                    <a:ln>
                      <a:noFill/>
                    </a:ln>
                  </pic:spPr>
                </pic:pic>
              </a:graphicData>
            </a:graphic>
          </wp:inline>
        </w:drawing>
      </w: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Рентабельность продаж (операционная):</w:t>
      </w:r>
    </w:p>
    <w:p w:rsidR="003A5550" w:rsidRDefault="003A5550">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44800" cy="539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0" cy="539750"/>
                    </a:xfrm>
                    <a:prstGeom prst="rect">
                      <a:avLst/>
                    </a:prstGeom>
                    <a:noFill/>
                    <a:ln>
                      <a:noFill/>
                    </a:ln>
                  </pic:spPr>
                </pic:pic>
              </a:graphicData>
            </a:graphic>
          </wp:inline>
        </w:drawing>
      </w: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Рентабельность продаж (чистая):</w:t>
      </w:r>
    </w:p>
    <w:p w:rsidR="003A5550" w:rsidRDefault="003A5550">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44800" cy="539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4800" cy="539750"/>
                    </a:xfrm>
                    <a:prstGeom prst="rect">
                      <a:avLst/>
                    </a:prstGeom>
                    <a:noFill/>
                    <a:ln>
                      <a:noFill/>
                    </a:ln>
                  </pic:spPr>
                </pic:pic>
              </a:graphicData>
            </a:graphic>
          </wp:inline>
        </w:drawing>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рентабельности капитала являются, по сути, наиглавнейшими в системе критериев оценки деятельности фирмы. Поэтому понятно стремление управлять базовыми факторами, влияющими на значение этих индикаторов. Один из наиболее распространенных подходов к выявлению факторов реализован в известной факторной модели фирмы «</w:t>
      </w:r>
      <w:r>
        <w:rPr>
          <w:rFonts w:ascii="Times New Roman CYR" w:hAnsi="Times New Roman CYR" w:cs="Times New Roman CYR"/>
          <w:sz w:val="28"/>
          <w:szCs w:val="28"/>
          <w:lang w:val="en-US"/>
        </w:rPr>
        <w:t>Du</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Pont</w:t>
      </w:r>
      <w:r>
        <w:rPr>
          <w:rFonts w:ascii="Times New Roman CYR" w:hAnsi="Times New Roman CYR" w:cs="Times New Roman CYR"/>
          <w:sz w:val="28"/>
          <w:szCs w:val="28"/>
        </w:rPr>
        <w:t>». В основе анализа лежат следующие формулы:</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75100" cy="5016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5100" cy="501650"/>
                    </a:xfrm>
                    <a:prstGeom prst="rect">
                      <a:avLst/>
                    </a:prstGeom>
                    <a:noFill/>
                    <a:ln>
                      <a:noFill/>
                    </a:ln>
                  </pic:spPr>
                </pic:pic>
              </a:graphicData>
            </a:graphic>
          </wp:inline>
        </w:drawing>
      </w:r>
    </w:p>
    <w:p w:rsidR="003A5550" w:rsidRDefault="003A55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Pn</w:t>
      </w:r>
      <w:r>
        <w:rPr>
          <w:rFonts w:ascii="Times New Roman CYR" w:hAnsi="Times New Roman CYR" w:cs="Times New Roman CYR"/>
          <w:sz w:val="28"/>
          <w:szCs w:val="28"/>
        </w:rPr>
        <w:t xml:space="preserve"> - чистая прибыль;</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 выручка от продаж;</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A</w:t>
      </w:r>
      <w:r>
        <w:rPr>
          <w:rFonts w:ascii="Times New Roman CYR" w:hAnsi="Times New Roman CYR" w:cs="Times New Roman CYR"/>
          <w:sz w:val="28"/>
          <w:szCs w:val="28"/>
        </w:rPr>
        <w:t>-стоимостная оценка совокупных активов фирмы;</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E</w:t>
      </w:r>
      <w:r>
        <w:rPr>
          <w:rFonts w:ascii="Times New Roman CYR" w:hAnsi="Times New Roman CYR" w:cs="Times New Roman CYR"/>
          <w:sz w:val="28"/>
          <w:szCs w:val="28"/>
        </w:rPr>
        <w:t xml:space="preserve"> - собственный капитал;</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LTD</w:t>
      </w:r>
      <w:r>
        <w:rPr>
          <w:rFonts w:ascii="Times New Roman CYR" w:hAnsi="Times New Roman CYR" w:cs="Times New Roman CYR"/>
          <w:sz w:val="28"/>
          <w:szCs w:val="28"/>
        </w:rPr>
        <w:t xml:space="preserve"> - заемный капитал (долгосрочные обязательства);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CL</w:t>
      </w:r>
      <w:r>
        <w:rPr>
          <w:rFonts w:ascii="Times New Roman CYR" w:hAnsi="Times New Roman CYR" w:cs="Times New Roman CYR"/>
          <w:sz w:val="28"/>
          <w:szCs w:val="28"/>
        </w:rPr>
        <w:t xml:space="preserve"> - краткосрочные обязательства.</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noProof/>
          <w:sz w:val="24"/>
          <w:szCs w:val="24"/>
        </w:rPr>
      </w:pPr>
    </w:p>
    <w:p w:rsidR="003A5550" w:rsidRDefault="00DB714A">
      <w:pPr>
        <w:widowControl w:val="0"/>
        <w:autoSpaceDE w:val="0"/>
        <w:autoSpaceDN w:val="0"/>
        <w:adjustRightInd w:val="0"/>
        <w:spacing w:after="0" w:line="240" w:lineRule="auto"/>
        <w:rPr>
          <w:rFonts w:ascii="Times New Roman CYR" w:hAnsi="Times New Roman CYR" w:cs="Times New Roman CYR"/>
          <w:noProof/>
          <w:sz w:val="24"/>
          <w:szCs w:val="24"/>
        </w:rPr>
      </w:pPr>
      <w:r>
        <w:rPr>
          <w:rFonts w:ascii="Microsoft Sans Serif" w:hAnsi="Microsoft Sans Serif" w:cs="Microsoft Sans Serif"/>
          <w:noProof/>
          <w:sz w:val="17"/>
          <w:szCs w:val="17"/>
        </w:rPr>
        <w:drawing>
          <wp:inline distT="0" distB="0" distL="0" distR="0">
            <wp:extent cx="4959350" cy="4699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9350" cy="469900"/>
                    </a:xfrm>
                    <a:prstGeom prst="rect">
                      <a:avLst/>
                    </a:prstGeom>
                    <a:noFill/>
                    <a:ln>
                      <a:noFill/>
                    </a:ln>
                  </pic:spPr>
                </pic:pic>
              </a:graphicData>
            </a:graphic>
          </wp:inline>
        </w:drawing>
      </w:r>
    </w:p>
    <w:p w:rsidR="003A5550" w:rsidRDefault="00DB714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59350" cy="469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9350" cy="46990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3. Анализа финансово-хозяйственной деятельности ОАО ВО «ТЕХНОПРОМЭКСПОРТ»</w:t>
      </w:r>
    </w:p>
    <w:p w:rsidR="003A5550" w:rsidRDefault="003A5550">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3.1 Анализ имущественного положения ОАО «ВО «Технопромэкспорт»</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составлении агрегированного баланса ОАО «ВО «Технопромэкспорт» структура исходного баланса сохраняется - выделение постоянных и текущих активов, собственного и заемного капитала, сохраняется равенство общих величин (сальдо) актива и пассива баланса. Для сравнительной характеристики и наглядности изменений тех или иных показателей анализ проведем в динамике пяти лет. Для удобства анализа укрупним некоторые статьи бухгалтерского баланса. Так в статью «Основные средства» вошли также суммы незавершенного производства, «Денежные средства» - краткосрочные финансовые вложения, в статью «Прочие текущие активы» - НДС, статья «Долгосрочные обязательства» приведена единой суммой, в статью «Накопленный капитал» - резервный капитал и нераспределенная прибыль. Таким образом, был составлен агрегированный баланс, представленный в табл.3.1.</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Агрегированный баланс активов ОАО ВО «Технопромэкспорт» с 2007 по 2011 гг., тыс.руб.</w:t>
      </w:r>
    </w:p>
    <w:tbl>
      <w:tblPr>
        <w:tblW w:w="0" w:type="auto"/>
        <w:jc w:val="center"/>
        <w:tblLayout w:type="fixed"/>
        <w:tblLook w:val="0000" w:firstRow="0" w:lastRow="0" w:firstColumn="0" w:lastColumn="0" w:noHBand="0" w:noVBand="0"/>
      </w:tblPr>
      <w:tblGrid>
        <w:gridCol w:w="3833"/>
        <w:gridCol w:w="32"/>
        <w:gridCol w:w="1016"/>
        <w:gridCol w:w="47"/>
        <w:gridCol w:w="1016"/>
        <w:gridCol w:w="68"/>
        <w:gridCol w:w="948"/>
        <w:gridCol w:w="68"/>
        <w:gridCol w:w="1016"/>
        <w:gridCol w:w="11"/>
        <w:gridCol w:w="1016"/>
        <w:gridCol w:w="53"/>
      </w:tblGrid>
      <w:tr w:rsidR="003A5550">
        <w:trPr>
          <w:gridAfter w:val="1"/>
          <w:wAfter w:w="53" w:type="dxa"/>
          <w:jc w:val="center"/>
        </w:trPr>
        <w:tc>
          <w:tcPr>
            <w:tcW w:w="3833" w:type="dxa"/>
            <w:tcBorders>
              <w:top w:val="single" w:sz="6" w:space="0" w:color="auto"/>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Статьи активов и пассивов баланса</w:t>
            </w:r>
          </w:p>
        </w:tc>
        <w:tc>
          <w:tcPr>
            <w:tcW w:w="1095" w:type="dxa"/>
            <w:gridSpan w:val="3"/>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2007г.</w:t>
            </w:r>
          </w:p>
        </w:tc>
        <w:tc>
          <w:tcPr>
            <w:tcW w:w="101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1016" w:type="dxa"/>
            <w:gridSpan w:val="2"/>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095" w:type="dxa"/>
            <w:gridSpan w:val="3"/>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01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r>
      <w:tr w:rsidR="003A5550">
        <w:trPr>
          <w:gridAfter w:val="1"/>
          <w:wAfter w:w="53" w:type="dxa"/>
          <w:jc w:val="center"/>
        </w:trPr>
        <w:tc>
          <w:tcPr>
            <w:tcW w:w="3833" w:type="dxa"/>
            <w:tcBorders>
              <w:top w:val="single" w:sz="6" w:space="0" w:color="auto"/>
              <w:left w:val="single" w:sz="6" w:space="0" w:color="auto"/>
              <w:bottom w:val="single" w:sz="6" w:space="0" w:color="auto"/>
              <w:right w:val="nil"/>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1095" w:type="dxa"/>
            <w:gridSpan w:val="3"/>
            <w:tcBorders>
              <w:top w:val="single" w:sz="6" w:space="0" w:color="auto"/>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1016" w:type="dxa"/>
            <w:tcBorders>
              <w:top w:val="single" w:sz="6" w:space="0" w:color="auto"/>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1016" w:type="dxa"/>
            <w:gridSpan w:val="2"/>
            <w:tcBorders>
              <w:top w:val="single" w:sz="6" w:space="0" w:color="auto"/>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1095" w:type="dxa"/>
            <w:gridSpan w:val="3"/>
            <w:tcBorders>
              <w:top w:val="single" w:sz="6" w:space="0" w:color="auto"/>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1016" w:type="dxa"/>
            <w:tcBorders>
              <w:top w:val="single" w:sz="6" w:space="0" w:color="auto"/>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r>
      <w:tr w:rsidR="003A5550">
        <w:trPr>
          <w:gridAfter w:val="1"/>
          <w:wAfter w:w="53" w:type="dxa"/>
          <w:jc w:val="center"/>
        </w:trPr>
        <w:tc>
          <w:tcPr>
            <w:tcW w:w="9071" w:type="dxa"/>
            <w:gridSpan w:val="11"/>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АКТИВЫ</w:t>
            </w:r>
          </w:p>
        </w:tc>
      </w:tr>
      <w:tr w:rsidR="003A5550">
        <w:trPr>
          <w:gridAfter w:val="1"/>
          <w:wAfter w:w="53" w:type="dxa"/>
          <w:jc w:val="center"/>
        </w:trPr>
        <w:tc>
          <w:tcPr>
            <w:tcW w:w="3833"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Постоянные активы</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3127" w:type="dxa"/>
            <w:gridSpan w:val="6"/>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rPr>
          <w:gridAfter w:val="1"/>
          <w:wAfter w:w="53" w:type="dxa"/>
          <w:jc w:val="center"/>
        </w:trPr>
        <w:tc>
          <w:tcPr>
            <w:tcW w:w="3833"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4519258</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4565844</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5485907</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5367638</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5057960</w:t>
            </w:r>
          </w:p>
        </w:tc>
      </w:tr>
      <w:tr w:rsidR="003A5550">
        <w:trPr>
          <w:gridAfter w:val="1"/>
          <w:wAfter w:w="53" w:type="dxa"/>
          <w:jc w:val="center"/>
        </w:trPr>
        <w:tc>
          <w:tcPr>
            <w:tcW w:w="3833"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Нематериальные активы</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r>
      <w:tr w:rsidR="003A5550">
        <w:trPr>
          <w:gridAfter w:val="1"/>
          <w:wAfter w:w="53" w:type="dxa"/>
          <w:jc w:val="center"/>
        </w:trPr>
        <w:tc>
          <w:tcPr>
            <w:tcW w:w="3833"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финансовые вложения</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4418736</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6304654</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4495702</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6020810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6079935</w:t>
            </w:r>
          </w:p>
        </w:tc>
      </w:tr>
      <w:tr w:rsidR="003A5550">
        <w:trPr>
          <w:gridAfter w:val="1"/>
          <w:wAfter w:w="53" w:type="dxa"/>
          <w:jc w:val="center"/>
        </w:trPr>
        <w:tc>
          <w:tcPr>
            <w:tcW w:w="3833"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активы</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213285</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42721</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86439</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19905</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32014</w:t>
            </w:r>
          </w:p>
        </w:tc>
      </w:tr>
      <w:tr w:rsidR="003A5550">
        <w:trPr>
          <w:gridAfter w:val="1"/>
          <w:wAfter w:w="53" w:type="dxa"/>
          <w:jc w:val="center"/>
        </w:trPr>
        <w:tc>
          <w:tcPr>
            <w:tcW w:w="3833"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(более 12мес.)</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344202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863321</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2412837</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2560696</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2056110</w:t>
            </w:r>
          </w:p>
        </w:tc>
      </w:tr>
      <w:tr w:rsidR="003A5550">
        <w:trPr>
          <w:gridAfter w:val="1"/>
          <w:wAfter w:w="53" w:type="dxa"/>
          <w:jc w:val="center"/>
        </w:trPr>
        <w:tc>
          <w:tcPr>
            <w:tcW w:w="3833"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постоянные активы</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18400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722005</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639605</w:t>
            </w:r>
          </w:p>
        </w:tc>
      </w:tr>
      <w:tr w:rsidR="003A5550">
        <w:trPr>
          <w:gridAfter w:val="1"/>
          <w:wAfter w:w="53" w:type="dxa"/>
          <w:jc w:val="center"/>
        </w:trPr>
        <w:tc>
          <w:tcPr>
            <w:tcW w:w="3833"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постоянные активы</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9514058</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11776693</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12481014</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14691159</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13865723</w:t>
            </w:r>
          </w:p>
        </w:tc>
      </w:tr>
      <w:tr w:rsidR="003A5550">
        <w:trPr>
          <w:gridAfter w:val="1"/>
          <w:wAfter w:w="53" w:type="dxa"/>
          <w:jc w:val="center"/>
        </w:trPr>
        <w:tc>
          <w:tcPr>
            <w:tcW w:w="3833"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Текущие активы</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3127" w:type="dxa"/>
            <w:gridSpan w:val="6"/>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rPr>
          <w:gridAfter w:val="1"/>
          <w:wAfter w:w="53" w:type="dxa"/>
          <w:jc w:val="center"/>
        </w:trPr>
        <w:tc>
          <w:tcPr>
            <w:tcW w:w="3833"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5908969</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5054860</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7066556</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5967584</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5178767</w:t>
            </w:r>
          </w:p>
        </w:tc>
      </w:tr>
      <w:tr w:rsidR="003A5550">
        <w:trPr>
          <w:gridAfter w:val="1"/>
          <w:wAfter w:w="53" w:type="dxa"/>
          <w:jc w:val="center"/>
        </w:trPr>
        <w:tc>
          <w:tcPr>
            <w:tcW w:w="3833"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(менее 12мес.)</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9951977</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18107136</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15273338</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19498613</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17381840</w:t>
            </w:r>
          </w:p>
        </w:tc>
      </w:tr>
      <w:tr w:rsidR="003A5550">
        <w:trPr>
          <w:gridAfter w:val="1"/>
          <w:wAfter w:w="53" w:type="dxa"/>
          <w:jc w:val="center"/>
        </w:trPr>
        <w:tc>
          <w:tcPr>
            <w:tcW w:w="3833"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10708804</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6127071</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1579637</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2771122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1731786</w:t>
            </w:r>
          </w:p>
        </w:tc>
      </w:tr>
      <w:tr w:rsidR="003A5550">
        <w:trPr>
          <w:gridAfter w:val="1"/>
          <w:wAfter w:w="53" w:type="dxa"/>
          <w:jc w:val="center"/>
        </w:trPr>
        <w:tc>
          <w:tcPr>
            <w:tcW w:w="3833"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текущие активы</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296432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164299</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1668732</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2174561</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5424290</w:t>
            </w:r>
          </w:p>
        </w:tc>
      </w:tr>
      <w:tr w:rsidR="003A5550">
        <w:trPr>
          <w:gridAfter w:val="1"/>
          <w:wAfter w:w="53" w:type="dxa"/>
          <w:jc w:val="center"/>
        </w:trPr>
        <w:tc>
          <w:tcPr>
            <w:tcW w:w="3833"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текущие активы</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26866182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29453366</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25588263</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30411880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29716683</w:t>
            </w:r>
          </w:p>
        </w:tc>
      </w:tr>
      <w:tr w:rsidR="003A5550">
        <w:trPr>
          <w:gridAfter w:val="1"/>
          <w:wAfter w:w="53" w:type="dxa"/>
          <w:jc w:val="center"/>
        </w:trPr>
        <w:tc>
          <w:tcPr>
            <w:tcW w:w="3833"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АКТИВ</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36380240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41230059</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38069277</w:t>
            </w:r>
          </w:p>
        </w:tc>
        <w:tc>
          <w:tcPr>
            <w:tcW w:w="1095"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45103039</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43582406</w:t>
            </w:r>
          </w:p>
        </w:tc>
      </w:tr>
      <w:tr w:rsidR="003A5550">
        <w:trPr>
          <w:jc w:val="center"/>
        </w:trPr>
        <w:tc>
          <w:tcPr>
            <w:tcW w:w="9124" w:type="dxa"/>
            <w:gridSpan w:val="12"/>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ПАССИВЫ</w:t>
            </w:r>
          </w:p>
        </w:tc>
      </w:tr>
      <w:tr w:rsidR="003A5550">
        <w:trPr>
          <w:jc w:val="center"/>
        </w:trPr>
        <w:tc>
          <w:tcPr>
            <w:tcW w:w="3865" w:type="dxa"/>
            <w:gridSpan w:val="2"/>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Собственный капитал</w:t>
            </w:r>
          </w:p>
        </w:tc>
        <w:tc>
          <w:tcPr>
            <w:tcW w:w="5259" w:type="dxa"/>
            <w:gridSpan w:val="10"/>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rPr>
          <w:jc w:val="center"/>
        </w:trPr>
        <w:tc>
          <w:tcPr>
            <w:tcW w:w="3865" w:type="dxa"/>
            <w:gridSpan w:val="2"/>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Уставный капитал</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15705732</w:t>
            </w:r>
          </w:p>
        </w:tc>
        <w:tc>
          <w:tcPr>
            <w:tcW w:w="1131"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15705732</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15705732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15705732</w:t>
            </w:r>
          </w:p>
        </w:tc>
        <w:tc>
          <w:tcPr>
            <w:tcW w:w="1080"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15663211</w:t>
            </w:r>
          </w:p>
        </w:tc>
      </w:tr>
      <w:tr w:rsidR="003A5550">
        <w:trPr>
          <w:jc w:val="center"/>
        </w:trPr>
        <w:tc>
          <w:tcPr>
            <w:tcW w:w="3865" w:type="dxa"/>
            <w:gridSpan w:val="2"/>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Накопленный капитал</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1532841</w:t>
            </w:r>
          </w:p>
        </w:tc>
        <w:tc>
          <w:tcPr>
            <w:tcW w:w="1131"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382137</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817173</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1082264</w:t>
            </w:r>
          </w:p>
        </w:tc>
        <w:tc>
          <w:tcPr>
            <w:tcW w:w="1080"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1186934</w:t>
            </w:r>
          </w:p>
        </w:tc>
      </w:tr>
      <w:tr w:rsidR="003A5550">
        <w:trPr>
          <w:jc w:val="center"/>
        </w:trPr>
        <w:tc>
          <w:tcPr>
            <w:tcW w:w="3865" w:type="dxa"/>
            <w:gridSpan w:val="2"/>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будущих периодов</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31"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57976</w:t>
            </w:r>
          </w:p>
        </w:tc>
        <w:tc>
          <w:tcPr>
            <w:tcW w:w="1080"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35087</w:t>
            </w:r>
          </w:p>
        </w:tc>
      </w:tr>
      <w:tr w:rsidR="003A5550">
        <w:trPr>
          <w:jc w:val="center"/>
        </w:trPr>
        <w:tc>
          <w:tcPr>
            <w:tcW w:w="3865" w:type="dxa"/>
            <w:gridSpan w:val="2"/>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собственный капитал</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17238573</w:t>
            </w:r>
          </w:p>
        </w:tc>
        <w:tc>
          <w:tcPr>
            <w:tcW w:w="1131"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16087869</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16522905</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16845972</w:t>
            </w:r>
          </w:p>
        </w:tc>
        <w:tc>
          <w:tcPr>
            <w:tcW w:w="1080"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16885232</w:t>
            </w:r>
          </w:p>
        </w:tc>
      </w:tr>
      <w:tr w:rsidR="003A5550">
        <w:trPr>
          <w:jc w:val="center"/>
        </w:trPr>
        <w:tc>
          <w:tcPr>
            <w:tcW w:w="3865" w:type="dxa"/>
            <w:gridSpan w:val="2"/>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Заемный капитал</w:t>
            </w:r>
          </w:p>
        </w:tc>
        <w:tc>
          <w:tcPr>
            <w:tcW w:w="5259" w:type="dxa"/>
            <w:gridSpan w:val="10"/>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rPr>
          <w:jc w:val="center"/>
        </w:trPr>
        <w:tc>
          <w:tcPr>
            <w:tcW w:w="3865" w:type="dxa"/>
            <w:gridSpan w:val="2"/>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обязательства</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140672</w:t>
            </w:r>
          </w:p>
        </w:tc>
        <w:tc>
          <w:tcPr>
            <w:tcW w:w="1131"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187590</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240430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3845857</w:t>
            </w:r>
          </w:p>
        </w:tc>
        <w:tc>
          <w:tcPr>
            <w:tcW w:w="1080"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3237160</w:t>
            </w:r>
          </w:p>
        </w:tc>
      </w:tr>
      <w:tr w:rsidR="003A5550">
        <w:trPr>
          <w:jc w:val="center"/>
        </w:trPr>
        <w:tc>
          <w:tcPr>
            <w:tcW w:w="3865" w:type="dxa"/>
            <w:gridSpan w:val="2"/>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Текущие пассивы</w:t>
            </w:r>
          </w:p>
        </w:tc>
        <w:tc>
          <w:tcPr>
            <w:tcW w:w="5259" w:type="dxa"/>
            <w:gridSpan w:val="10"/>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rPr>
          <w:jc w:val="center"/>
        </w:trPr>
        <w:tc>
          <w:tcPr>
            <w:tcW w:w="3865" w:type="dxa"/>
            <w:gridSpan w:val="2"/>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Заемные средства</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160000</w:t>
            </w:r>
          </w:p>
        </w:tc>
        <w:tc>
          <w:tcPr>
            <w:tcW w:w="1131"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80"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A5550">
        <w:trPr>
          <w:jc w:val="center"/>
        </w:trPr>
        <w:tc>
          <w:tcPr>
            <w:tcW w:w="3865" w:type="dxa"/>
            <w:gridSpan w:val="2"/>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18840995</w:t>
            </w:r>
          </w:p>
        </w:tc>
        <w:tc>
          <w:tcPr>
            <w:tcW w:w="1131"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24954600</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20846841</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24001730</w:t>
            </w:r>
          </w:p>
        </w:tc>
        <w:tc>
          <w:tcPr>
            <w:tcW w:w="1080"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22050462</w:t>
            </w:r>
          </w:p>
        </w:tc>
      </w:tr>
      <w:tr w:rsidR="003A5550">
        <w:trPr>
          <w:jc w:val="center"/>
        </w:trPr>
        <w:tc>
          <w:tcPr>
            <w:tcW w:w="3865" w:type="dxa"/>
            <w:gridSpan w:val="2"/>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текущие пассивы</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31"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459101</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409480</w:t>
            </w:r>
          </w:p>
        </w:tc>
        <w:tc>
          <w:tcPr>
            <w:tcW w:w="1080"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1409552</w:t>
            </w:r>
          </w:p>
        </w:tc>
      </w:tr>
      <w:tr w:rsidR="003A5550">
        <w:trPr>
          <w:jc w:val="center"/>
        </w:trPr>
        <w:tc>
          <w:tcPr>
            <w:tcW w:w="3865" w:type="dxa"/>
            <w:gridSpan w:val="2"/>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текущие пассивы</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19000995</w:t>
            </w:r>
          </w:p>
        </w:tc>
        <w:tc>
          <w:tcPr>
            <w:tcW w:w="1131"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24954600</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21305942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24411210</w:t>
            </w:r>
          </w:p>
        </w:tc>
        <w:tc>
          <w:tcPr>
            <w:tcW w:w="1080"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23460014</w:t>
            </w:r>
          </w:p>
        </w:tc>
      </w:tr>
      <w:tr w:rsidR="003A5550">
        <w:trPr>
          <w:jc w:val="center"/>
        </w:trPr>
        <w:tc>
          <w:tcPr>
            <w:tcW w:w="3865" w:type="dxa"/>
            <w:gridSpan w:val="2"/>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заемный капитал</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19141667</w:t>
            </w:r>
          </w:p>
        </w:tc>
        <w:tc>
          <w:tcPr>
            <w:tcW w:w="1131"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25142190</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21546372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28257067</w:t>
            </w:r>
          </w:p>
        </w:tc>
        <w:tc>
          <w:tcPr>
            <w:tcW w:w="1080"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26697174</w:t>
            </w:r>
          </w:p>
        </w:tc>
      </w:tr>
      <w:tr w:rsidR="003A5550">
        <w:trPr>
          <w:jc w:val="center"/>
        </w:trPr>
        <w:tc>
          <w:tcPr>
            <w:tcW w:w="3865" w:type="dxa"/>
            <w:gridSpan w:val="2"/>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ПАССИВ</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36380240</w:t>
            </w:r>
          </w:p>
        </w:tc>
        <w:tc>
          <w:tcPr>
            <w:tcW w:w="1131"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41230059</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38069277</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45103039</w:t>
            </w:r>
          </w:p>
        </w:tc>
        <w:tc>
          <w:tcPr>
            <w:tcW w:w="1080"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43582406</w:t>
            </w:r>
          </w:p>
        </w:tc>
      </w:tr>
      <w:tr w:rsidR="003A5550">
        <w:trPr>
          <w:jc w:val="center"/>
        </w:trPr>
        <w:tc>
          <w:tcPr>
            <w:tcW w:w="3865" w:type="dxa"/>
            <w:gridSpan w:val="2"/>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ЧОК</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7865187</w:t>
            </w:r>
          </w:p>
        </w:tc>
        <w:tc>
          <w:tcPr>
            <w:tcW w:w="1131"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4498766</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4282321</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6000670</w:t>
            </w:r>
          </w:p>
        </w:tc>
        <w:tc>
          <w:tcPr>
            <w:tcW w:w="1080"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6256669</w:t>
            </w:r>
          </w:p>
        </w:tc>
      </w:tr>
      <w:tr w:rsidR="003A5550">
        <w:trPr>
          <w:jc w:val="center"/>
        </w:trPr>
        <w:tc>
          <w:tcPr>
            <w:tcW w:w="3865" w:type="dxa"/>
            <w:gridSpan w:val="2"/>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7724515</w:t>
            </w:r>
          </w:p>
        </w:tc>
        <w:tc>
          <w:tcPr>
            <w:tcW w:w="1131"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4311176</w:t>
            </w:r>
          </w:p>
        </w:tc>
        <w:tc>
          <w:tcPr>
            <w:tcW w:w="1016" w:type="dxa"/>
            <w:gridSpan w:val="2"/>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4041891</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2154813</w:t>
            </w:r>
          </w:p>
        </w:tc>
        <w:tc>
          <w:tcPr>
            <w:tcW w:w="1080" w:type="dxa"/>
            <w:gridSpan w:val="3"/>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3019509</w:t>
            </w:r>
          </w:p>
        </w:tc>
      </w:tr>
    </w:tbl>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b/>
          <w:bCs/>
          <w:noProof/>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Microsoft Sans Serif" w:hAnsi="Microsoft Sans Serif" w:cs="Microsoft Sans Serif"/>
          <w:noProof/>
          <w:sz w:val="17"/>
          <w:szCs w:val="17"/>
        </w:rPr>
        <w:drawing>
          <wp:inline distT="0" distB="0" distL="0" distR="0">
            <wp:extent cx="1676400" cy="8890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889000"/>
                    </a:xfrm>
                    <a:prstGeom prst="rect">
                      <a:avLst/>
                    </a:prstGeom>
                    <a:noFill/>
                    <a:ln>
                      <a:noFill/>
                    </a:ln>
                  </pic:spPr>
                </pic:pic>
              </a:graphicData>
            </a:graphic>
          </wp:inline>
        </w:drawing>
      </w:r>
    </w:p>
    <w:p w:rsidR="003A5550" w:rsidRDefault="004A2985">
      <w:pPr>
        <w:widowControl w:val="0"/>
        <w:tabs>
          <w:tab w:val="left" w:pos="31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3.1. Динамика валюты баланса ОАО «ВО «Технопромэкспорт»</w:t>
      </w:r>
    </w:p>
    <w:p w:rsidR="003A5550" w:rsidRDefault="003A5550">
      <w:pPr>
        <w:widowControl w:val="0"/>
        <w:tabs>
          <w:tab w:val="left" w:pos="3120"/>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3A5550" w:rsidRDefault="004A2985">
      <w:pPr>
        <w:widowControl w:val="0"/>
        <w:tabs>
          <w:tab w:val="left" w:pos="31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валюту баланса отметим, что в анализируемом периоде она изменялась скачкообразно, но можно также отметить, что в целом за 2007-2011 гг. валюта баланса увеличилась с 36 до 44 млрд.руб.</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Анализ изменения статей активов баланса ОАО ВО «Технопромэкспорт» на 31.12.07-31.12.11 гг.</w:t>
      </w:r>
    </w:p>
    <w:tbl>
      <w:tblPr>
        <w:tblW w:w="0" w:type="auto"/>
        <w:jc w:val="center"/>
        <w:tblLayout w:type="fixed"/>
        <w:tblLook w:val="0000" w:firstRow="0" w:lastRow="0" w:firstColumn="0" w:lastColumn="0" w:noHBand="0" w:noVBand="0"/>
      </w:tblPr>
      <w:tblGrid>
        <w:gridCol w:w="3454"/>
        <w:gridCol w:w="2179"/>
        <w:gridCol w:w="1577"/>
        <w:gridCol w:w="1250"/>
        <w:gridCol w:w="1212"/>
        <w:gridCol w:w="1250"/>
        <w:gridCol w:w="1212"/>
        <w:gridCol w:w="1250"/>
        <w:gridCol w:w="1212"/>
      </w:tblGrid>
      <w:tr w:rsidR="003A5550">
        <w:trPr>
          <w:gridAfter w:val="1"/>
          <w:wAfter w:w="1212" w:type="dxa"/>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Статьи активов и пассивов баланса</w:t>
            </w:r>
          </w:p>
        </w:tc>
        <w:tc>
          <w:tcPr>
            <w:tcW w:w="3756" w:type="dxa"/>
            <w:gridSpan w:val="2"/>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2462" w:type="dxa"/>
            <w:gridSpan w:val="2"/>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2462" w:type="dxa"/>
            <w:gridSpan w:val="2"/>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12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r>
      <w:tr w:rsidR="003A5550">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2179"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отклонение,тыс.руб.</w:t>
            </w:r>
          </w:p>
        </w:tc>
        <w:tc>
          <w:tcPr>
            <w:tcW w:w="1577"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тыс.руб.</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тыс.руб.</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тыс.руб.</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w:t>
            </w:r>
          </w:p>
        </w:tc>
      </w:tr>
      <w:tr w:rsidR="003A5550">
        <w:trPr>
          <w:gridAfter w:val="1"/>
          <w:wAfter w:w="1212" w:type="dxa"/>
          <w:jc w:val="center"/>
        </w:trPr>
        <w:tc>
          <w:tcPr>
            <w:tcW w:w="13384" w:type="dxa"/>
            <w:gridSpan w:val="8"/>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w:t>
            </w:r>
          </w:p>
        </w:tc>
      </w:tr>
      <w:tr w:rsidR="003A5550">
        <w:trPr>
          <w:jc w:val="center"/>
        </w:trPr>
        <w:tc>
          <w:tcPr>
            <w:tcW w:w="3454"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Постоянные активы</w:t>
            </w:r>
          </w:p>
        </w:tc>
        <w:tc>
          <w:tcPr>
            <w:tcW w:w="2179"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77"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924" w:type="dxa"/>
            <w:gridSpan w:val="4"/>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rPr>
          <w:jc w:val="center"/>
        </w:trPr>
        <w:tc>
          <w:tcPr>
            <w:tcW w:w="3454"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2179"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46586</w:t>
            </w:r>
          </w:p>
        </w:tc>
        <w:tc>
          <w:tcPr>
            <w:tcW w:w="1577"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920063</w:t>
            </w:r>
          </w:p>
        </w:tc>
        <w:tc>
          <w:tcPr>
            <w:tcW w:w="1212" w:type="dxa"/>
            <w:tcBorders>
              <w:top w:val="nil"/>
              <w:left w:val="nil"/>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1250"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-118269</w:t>
            </w:r>
          </w:p>
        </w:tc>
        <w:tc>
          <w:tcPr>
            <w:tcW w:w="1212"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-309678</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-5,77</w:t>
            </w:r>
          </w:p>
        </w:tc>
      </w:tr>
      <w:tr w:rsidR="003A5550">
        <w:trPr>
          <w:jc w:val="center"/>
        </w:trPr>
        <w:tc>
          <w:tcPr>
            <w:tcW w:w="3454"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Нематериальные активы</w:t>
            </w:r>
          </w:p>
        </w:tc>
        <w:tc>
          <w:tcPr>
            <w:tcW w:w="2179"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577"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-13,56</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12" w:type="dxa"/>
            <w:tcBorders>
              <w:top w:val="nil"/>
              <w:left w:val="nil"/>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-15,69</w:t>
            </w:r>
          </w:p>
        </w:tc>
        <w:tc>
          <w:tcPr>
            <w:tcW w:w="1250"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12"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-18,60</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-5,71</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финансовые вложения</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1885918</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42,68</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-1808952</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-28,69</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1525108</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33,92</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59125</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0,98</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активы</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-170564</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-79,97</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43718</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102,33</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-66534</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-76,97</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12109</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60,83</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(более 12мес.)</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519119</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150,82</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1549516</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179,48</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147859</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6,13</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-504586</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-19,71</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постоянные активы</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-18400</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722005</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-82400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-11,41</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постоянные активы</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2262635</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23,78</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704321</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5,98</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2210145</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17,71</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-825436</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Текущие активы</w:t>
            </w:r>
          </w:p>
        </w:tc>
        <w:tc>
          <w:tcPr>
            <w:tcW w:w="11142" w:type="dxa"/>
            <w:gridSpan w:val="8"/>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-854109</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-14,45</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2011696</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39,80</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-1098972</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-15,55</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-788817</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-13,22</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(менее 12мес.)</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8155159</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81,95</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-2833798</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-15,65</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4225275</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27,66</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-2116773</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-10,86</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-4581733</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-42,78</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-4547434</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-74,22</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1191485</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75,43</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-1039336</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-37,51</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текущие активы</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-132133</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-44,57</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1504433</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915,67</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505829</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30,31</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3249729</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149,44</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текущие активы</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2587184</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9,63</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-3865103</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-13,12</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4823617</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18,85</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-695197</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АКТИВ</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4849819</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13,33</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-3160782</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-7,67</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7033762</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18,48</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-1520633</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14596" w:type="dxa"/>
            <w:gridSpan w:val="9"/>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Собственный капитал</w:t>
            </w:r>
          </w:p>
        </w:tc>
        <w:tc>
          <w:tcPr>
            <w:tcW w:w="11142" w:type="dxa"/>
            <w:gridSpan w:val="8"/>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Уставный капитал</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-42521</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-0,27</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Накопленный капитал</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-1150704</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-75,07</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435036</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113,84</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265091</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32,44</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104670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9,67</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будущих периодов</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57976</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-22889</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-39,48</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собственный капитал</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-1150704</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-6,68</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435036</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323067</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39260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0,23</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Заемный капитал</w:t>
            </w:r>
          </w:p>
        </w:tc>
        <w:tc>
          <w:tcPr>
            <w:tcW w:w="11142" w:type="dxa"/>
            <w:gridSpan w:val="8"/>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обязательства</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46918</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33,35</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52840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28,17</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3605427</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1499,57</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-608697</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-15,83</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Текущие пассивы</w:t>
            </w:r>
          </w:p>
        </w:tc>
        <w:tc>
          <w:tcPr>
            <w:tcW w:w="11142" w:type="dxa"/>
            <w:gridSpan w:val="8"/>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Заемные средства</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-160000</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6113605</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32,45</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-4107759</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-16,46</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3154889</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15,13</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-1951268</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-8,13</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текущие пассивы</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459101</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-49621</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-10,81</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1000072</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244,23</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текущие пассивы</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5953605</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31,33</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-3648658</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-14,62</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3105268</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14,57</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-951196</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345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заемный капитал</w:t>
            </w:r>
          </w:p>
        </w:tc>
        <w:tc>
          <w:tcPr>
            <w:tcW w:w="21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6000523</w:t>
            </w:r>
          </w:p>
        </w:tc>
        <w:tc>
          <w:tcPr>
            <w:tcW w:w="15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31,35</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-3595818</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-14,30</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6710695</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31,15</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-1559893</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w:t>
            </w:r>
          </w:p>
        </w:tc>
      </w:tr>
    </w:tbl>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период с 2007 по 2011 гг. валюта баланса изменялась скачкообразно, так в 2008 и 2010 гг. наблюдается рост валюты баланса на 13 и 18,5%, соответственно, а в 2009 и 2011 гг. - наблюдается ее сокращение на 7,7 и 3,4%, соответственно.</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изменения в активе баланса (рис.3.2.).</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2495550" cy="155575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5550" cy="155575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 3.2. Изменение активов баланса ОАО «ВО «Технопромэкспорт»</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Очевидно, что величина всего активов за исследуемый период изменялась аналогично изменениям текущих активов. Так в 2008 и 2010 гг. текущие активы увеличились на 9,6 и 18,9%, соответственно, в основном за счет увеличения дебиторской задолженности на 82 и 28% или на 8,2 и 4,2 млрд.руб., соответственно. В 2009 и 2011 гг. текущие активы уменьшались на 13 и 2%, что связано с уменьшением стоимости запасов (на 4,5 и 1 млрд.руб., соответственно) и дебиторской задолженности (на 2,8 и 2,1 млрд.руб., соответственно). Постоянные активы в 2008-2010 гг. увеличивали свою стоимость на 24, 6 и 18%, соответственно. Причем в 2008 и 2010 гг. увеличение в основном вязано с приростом стоимости долгосрочных финансовых вложений на 1,9 и 1,5 млрд.руб., соответственно, а в 2009 г. - с приростом дебиторской задолженности на 1,5 млрд.руб. Уменьшение постоянных активов в 2011 г. на 5,6% в основном связано с сокращением величины дебиторской задолженности на 505 млн.руб. и стоимости основных средств на 310 млн.руб.</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изменение в пассиве баланса (рис.3.3.).</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br w:type="page"/>
      </w:r>
      <w:r w:rsidR="00DB714A">
        <w:rPr>
          <w:rFonts w:ascii="Microsoft Sans Serif" w:hAnsi="Microsoft Sans Serif" w:cs="Microsoft Sans Serif"/>
          <w:noProof/>
          <w:sz w:val="17"/>
          <w:szCs w:val="17"/>
        </w:rPr>
        <w:lastRenderedPageBreak/>
        <w:drawing>
          <wp:inline distT="0" distB="0" distL="0" distR="0">
            <wp:extent cx="2635250" cy="1524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5250" cy="152400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3.3. Изменение пассивов баланса ОАО «ВО «Технопромэкспорт»</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рисунка видно, что заемный капитал в исследуемом периоде изменялся неравномерно и определял изменение пассивов. В 2008 и 2010 гг. заемный капитал увеличивался на 31,4 и 31,2%, соответственно, так в 2008 г. за счет прироста текущих пассивов, а именно кредиторской задолженности на 5,95 млрд. руб., а в 2010 г. за счет прироста долгосрочных обязательств на 3,6 млрд. руб. и кредиторской задолженности на 3,1 млрд. руб. В 2009-2011 гг. заемный капитал уменьшался на 14 и 5,5%, соответственно, в частности из-за снижения стоимости текущих пассивов, а именно кредиторской задолженности на 16,5 и 8%, соответственно. При этом собственный капитал изменялся только за счет изменений накопленного капитала, и в 2009-2011 гг. ежегодно увеличивался, хотя темпы прироста снижались с 2,7% в 2009 г. до 0,23% в 2011 г., только в 2007 г. собственный капитал уменьшился на 6,7% (в частности из-за уменьшения нераспределенной прибыли почти в 5 раз).</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структуру средств предприятия и их источников (табл. 3.3).</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данных таблицы построим рисунки структур активов и пассивов.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структуру активов ОАО «ВО «Технопромэкспорт» (рис.3.4.).</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br w:type="page"/>
      </w:r>
      <w:r w:rsidR="00DB714A">
        <w:rPr>
          <w:rFonts w:ascii="Microsoft Sans Serif" w:hAnsi="Microsoft Sans Serif" w:cs="Microsoft Sans Serif"/>
          <w:noProof/>
          <w:sz w:val="17"/>
          <w:szCs w:val="17"/>
        </w:rPr>
        <w:lastRenderedPageBreak/>
        <w:drawing>
          <wp:inline distT="0" distB="0" distL="0" distR="0">
            <wp:extent cx="2552700" cy="1657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2700" cy="165735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 3.4. Структура активов баланса </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структуры активов баланса показывает, что большую долю занимают текущие активы, при этом доля их уменьшается с 73,9 до 68,2%, при этом их стоимость, как отмечалось выше, изменялась скачкообразно.</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3.3. Вертикальный анализ баланса ОАО «ВО «Технопромэкспорт» на 31.12.07-31.12.11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79"/>
        <w:gridCol w:w="861"/>
        <w:gridCol w:w="776"/>
        <w:gridCol w:w="861"/>
        <w:gridCol w:w="777"/>
        <w:gridCol w:w="862"/>
        <w:gridCol w:w="777"/>
        <w:gridCol w:w="862"/>
        <w:gridCol w:w="777"/>
        <w:gridCol w:w="862"/>
        <w:gridCol w:w="777"/>
      </w:tblGrid>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Статьи активов и пассивов баланса</w:t>
            </w:r>
          </w:p>
        </w:tc>
        <w:tc>
          <w:tcPr>
            <w:tcW w:w="1637" w:type="dxa"/>
            <w:gridSpan w:val="2"/>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2007г.</w:t>
            </w:r>
          </w:p>
        </w:tc>
        <w:tc>
          <w:tcPr>
            <w:tcW w:w="1638" w:type="dxa"/>
            <w:gridSpan w:val="2"/>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1639" w:type="dxa"/>
            <w:gridSpan w:val="2"/>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639" w:type="dxa"/>
            <w:gridSpan w:val="2"/>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639" w:type="dxa"/>
            <w:gridSpan w:val="2"/>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1637" w:type="dxa"/>
            <w:gridSpan w:val="2"/>
            <w:tcBorders>
              <w:top w:val="single" w:sz="6" w:space="0" w:color="auto"/>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1638" w:type="dxa"/>
            <w:gridSpan w:val="2"/>
            <w:tcBorders>
              <w:top w:val="single" w:sz="6" w:space="0" w:color="auto"/>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1639" w:type="dxa"/>
            <w:gridSpan w:val="2"/>
            <w:tcBorders>
              <w:top w:val="single" w:sz="6" w:space="0" w:color="auto"/>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1639" w:type="dxa"/>
            <w:gridSpan w:val="2"/>
            <w:tcBorders>
              <w:top w:val="single" w:sz="6" w:space="0" w:color="auto"/>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1639" w:type="dxa"/>
            <w:gridSpan w:val="2"/>
            <w:tcBorders>
              <w:top w:val="single" w:sz="6" w:space="0" w:color="auto"/>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r>
      <w:tr w:rsidR="003A5550">
        <w:trPr>
          <w:jc w:val="center"/>
        </w:trPr>
        <w:tc>
          <w:tcPr>
            <w:tcW w:w="9571" w:type="dxa"/>
            <w:gridSpan w:val="11"/>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АКТИВ</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Постоянные активы</w:t>
            </w:r>
          </w:p>
        </w:tc>
        <w:tc>
          <w:tcPr>
            <w:tcW w:w="8192" w:type="dxa"/>
            <w:gridSpan w:val="10"/>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4519258</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47,50</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4565844</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38,77</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5485907</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43,95</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5367638</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36,54</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5057960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36,48</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Нематериальные активы</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финансовые вложения</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4418736</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46,44</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6304654</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53,54</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4495702</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36,02</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6020810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40,98</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6079935</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43,85</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активы</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213285</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42721</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0,36</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86439</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0,69</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19905</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32014</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0,23</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(более 12мес.)</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344202</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863321</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7,33</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2412837</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19,33</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2560696</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17,43</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2056110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14,83</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постоянные активы</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18400</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722005</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639605</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Итого постоянные активы</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9514058</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11776693</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12481014</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14691159</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13865723</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Доля постоянных активов в итого активов</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26,15</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28,56</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32,79</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32,57</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31,81</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Текущие активы</w:t>
            </w:r>
          </w:p>
        </w:tc>
        <w:tc>
          <w:tcPr>
            <w:tcW w:w="8192" w:type="dxa"/>
            <w:gridSpan w:val="10"/>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5908969</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21,99</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5054860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17,16</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7066556</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27,62</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5967584</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19,62</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5178767</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17,43</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(менее 12мес.)</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9951977</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37,04</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18107136</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61,48</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15273338</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59,69</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19498613</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64,12</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17381840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58,49</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10708804</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39,86</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6127071</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1579637</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6,17</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2771122</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9,11</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1731786</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5,83</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текущие активы</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296432</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164299</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0,56</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1668732</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6,52</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2174561</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7,15</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5424290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18,25</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текущие активы</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26866182</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29453366</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25588263</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30411880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29716683</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Доля текущих активов в итого активов</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73,85</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71,44</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67,21</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67,43</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68,19</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АКТИВ</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36380240</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100</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41230059</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38069277</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45103039</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43582406</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100</w:t>
            </w:r>
          </w:p>
        </w:tc>
      </w:tr>
      <w:tr w:rsidR="003A5550">
        <w:trPr>
          <w:jc w:val="center"/>
        </w:trPr>
        <w:tc>
          <w:tcPr>
            <w:tcW w:w="9571" w:type="dxa"/>
            <w:gridSpan w:val="11"/>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ПАССИВ</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Собственный капитал</w:t>
            </w:r>
          </w:p>
        </w:tc>
        <w:tc>
          <w:tcPr>
            <w:tcW w:w="8192" w:type="dxa"/>
            <w:gridSpan w:val="10"/>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Уставный капитал</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15705732</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91,11</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15705732</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97,62</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15705732</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95,05</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15705732</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93,23</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15663211</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92,76</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Накопленный капитал</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1532841</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8,89</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382137</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817173</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1082264</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6,42</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1186934</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7,03</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будущих периодов</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57976</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35087</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0,21</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собственный капитал</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17238573</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16087869</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16522905</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16845972</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16885232</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Доля собственного капитала в итого пассивов</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47,38</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39,02</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43,40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37,35</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38,74</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Заемный капитал</w:t>
            </w:r>
          </w:p>
        </w:tc>
        <w:tc>
          <w:tcPr>
            <w:tcW w:w="8192" w:type="dxa"/>
            <w:gridSpan w:val="10"/>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обязательства</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140672</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187590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240430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3845857</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3237160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Доля </w:t>
            </w:r>
            <w:r>
              <w:rPr>
                <w:rFonts w:ascii="Times New Roman CYR" w:hAnsi="Times New Roman CYR" w:cs="Times New Roman CYR"/>
                <w:sz w:val="20"/>
                <w:szCs w:val="20"/>
              </w:rPr>
              <w:lastRenderedPageBreak/>
              <w:t>долгосрочных обязательств в заемном капитале</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 </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0,73</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0,75</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13,61</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12,13</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Текущие пассивы</w:t>
            </w:r>
          </w:p>
        </w:tc>
        <w:tc>
          <w:tcPr>
            <w:tcW w:w="8192" w:type="dxa"/>
            <w:gridSpan w:val="10"/>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Заемные средства</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160000</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18840995</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99,16</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24954600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20846841</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97,85</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24001730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98,32</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22050462</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93,99</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текущие пассивы</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459101</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409480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1409552</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6,01</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текущие пассивы</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19000995</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24954600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21305942</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24411210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23460014</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краткосрочных обязательств в заемном капитале</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99,27</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99,25</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98,88</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86,39</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87,87</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заемный капитал</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19141667</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25142190</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21546372</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28257067</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26697174</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Доля заемного капитала в итого пассивов</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52,62</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60,98</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56,60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62,65</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61,26</w:t>
            </w:r>
          </w:p>
        </w:tc>
      </w:tr>
      <w:tr w:rsidR="003A5550">
        <w:trPr>
          <w:jc w:val="center"/>
        </w:trPr>
        <w:tc>
          <w:tcPr>
            <w:tcW w:w="13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ПАССИВ</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36380240</w:t>
            </w:r>
          </w:p>
        </w:tc>
        <w:tc>
          <w:tcPr>
            <w:tcW w:w="776"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100</w:t>
            </w:r>
          </w:p>
        </w:tc>
        <w:tc>
          <w:tcPr>
            <w:tcW w:w="861"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41230059</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38069277</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45103039</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43582406</w:t>
            </w:r>
          </w:p>
        </w:tc>
        <w:tc>
          <w:tcPr>
            <w:tcW w:w="77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i/>
                <w:iCs/>
                <w:sz w:val="20"/>
                <w:szCs w:val="20"/>
              </w:rPr>
            </w:pPr>
            <w:r>
              <w:rPr>
                <w:rFonts w:ascii="Times New Roman CYR" w:hAnsi="Times New Roman CYR" w:cs="Times New Roman CYR"/>
                <w:i/>
                <w:iCs/>
                <w:sz w:val="20"/>
                <w:szCs w:val="20"/>
              </w:rPr>
              <w:t>100</w:t>
            </w:r>
          </w:p>
        </w:tc>
      </w:tr>
    </w:tbl>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76700" cy="1828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6700" cy="182880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3.5. Структура постоянных активов</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Большую долю в постоянных активах занимают долгосрочные финансовые </w:t>
      </w:r>
      <w:r>
        <w:rPr>
          <w:rFonts w:ascii="Times New Roman CYR" w:hAnsi="Times New Roman CYR" w:cs="Times New Roman CYR"/>
          <w:sz w:val="28"/>
          <w:szCs w:val="28"/>
        </w:rPr>
        <w:lastRenderedPageBreak/>
        <w:t>вложения от 36 до 54%, кроме 2007 и 2009 гг., когда большую долю составляли основные средства 47,5 и 44%, соответственно. На протяжении исследуемого периода доля дебиторской задолженности растет с 3,6 до 14,8%, что связано с ежегодным приростом ее абсолютного значения. Доля прочих постоянных активов увеличивалась в 2010 и 2011 гг. до 4,9 и 4,6%, а доля нематериальных активов меньше 0,01% на протяжении всего анализируемого периода.</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90900" cy="1943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0900" cy="194310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3.6. Структура текущих активов</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Большую долю в текущих активах занимает дебиторская задолженность (кроме 2007 г., когда доля запасов составила 40%), более того за период она выросла с 37,04 до 58,5%. В 2007 г. большую долю занимали запасы (39,9%), затем доля ежегодно уменьшалась до 5,8%, причем это связано со снижением стоимости запасов с 10,7 до 1,7 млрд.руб. Доля денежных средств изменялась неравномерно: в 2007-2008 гг. она уменьшалась с 21,99 до 17,16%, в 2008-2009 гг. увеличилась до 27,6%, после чего до 2011 г. ежегодно уменьшалась одновременно с их величина - с 5,9 до 5,1 млрд.руб., кроме 2009 г. Прочие текущие активы в 2007-2008 гг. занимали долю в 1,1 и 0,56%, соответственно, а, начиная с 2009 г. доля росла и в 2011 г. составила 18%, что связано с ростом их стоимости.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структуру пассивов ОАО «ВО «Технопромэкспорт».</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33600" cy="1428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0" cy="142875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3.7. Структура пассивов</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Большую долю в пассивах занимает заемный капитал, в целом за период она растет.</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12950" cy="104775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2950" cy="104775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3.8. Структура собственного капитала</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собственного капитала изменялась в основном за счет накопленного капитала, так как уставный капитал не изменялся (кроме 2011г.), но он составляет большую долю от 91 до 97%, при этом у компании отсутствует добавочный капитал. Как видно из рис.3.11 доля накопленного капитала изменялась неравномерно: в 2008 г. уменьшилась в 4 раза, что связано со значительным сокращением величины нераспределенной прибыли на 1,2 млрд. руб., а с 2009 по 2011 гг. увеличивалась с 4,95 до 7%, так как увеличивался размер нераспределенной прибыли. Доходы будущих периодов появились в компании в 2010 году, тогда они составляли 0,34%, а в 2011 году - 0,21%.</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165350" cy="10287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5350" cy="102870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3.9. Структура заемного капитала</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рис.3.9 видно, что доля долгосрочных обязательств в 2007-2009 гг. ничтожна мала, но в 2010-2011 гг. растет до 13,6 до 12%, соответственно, при этом их стоимость тоже растет с 140,8 до 3237 млн.руб. Краткосрочные обязательства составляют большую долю в заемном капитале, и ее снижение объясняется отсутствием в 2008-2011 гг. сумм кредитов и займов. </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подробнее структуру текущих пассивов (рис. 3.10).</w:t>
      </w: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52650" cy="12382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2650" cy="123825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3.10. Структура текущих пассивов</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кредиторской задолженности в 2008 г. составила 100%, а в 2009 г. 97,85%, так как у компании появились прочие краткосрочные обязательства (2,15%). В 2010 г. величина кредиторской задолженности выросла на 15%, соответственно, доля также выросла, но в 2011 г. прочие текущие пассивы увеличились почти в 3,5 раза, поэтому и их доля выросла до 6%.</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3.2 Анализ финансового состояния ОАО ВО «Технопромэкспорт»</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определения способности предприятия своевременно и в полном </w:t>
      </w:r>
      <w:r>
        <w:rPr>
          <w:rFonts w:ascii="Times New Roman CYR" w:hAnsi="Times New Roman CYR" w:cs="Times New Roman CYR"/>
          <w:sz w:val="28"/>
          <w:szCs w:val="28"/>
        </w:rPr>
        <w:lastRenderedPageBreak/>
        <w:t>объеме отвечать по текущим обязательствам за счет текущих активов проведем анализ ликвидности и платежеспособности (табл. 3.4).</w:t>
      </w:r>
    </w:p>
    <w:p w:rsidR="003A5550" w:rsidRDefault="003A5550">
      <w:pPr>
        <w:widowControl w:val="0"/>
        <w:tabs>
          <w:tab w:val="left" w:pos="709"/>
        </w:tabs>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tabs>
          <w:tab w:val="left" w:pos="70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Показатели ликвидности 31.12.07-31.12.11г. (в долях)</w:t>
      </w:r>
    </w:p>
    <w:tbl>
      <w:tblPr>
        <w:tblW w:w="0" w:type="auto"/>
        <w:jc w:val="center"/>
        <w:tblLayout w:type="fixed"/>
        <w:tblLook w:val="0000" w:firstRow="0" w:lastRow="0" w:firstColumn="0" w:lastColumn="0" w:noHBand="0" w:noVBand="0"/>
      </w:tblPr>
      <w:tblGrid>
        <w:gridCol w:w="3757"/>
        <w:gridCol w:w="850"/>
        <w:gridCol w:w="851"/>
        <w:gridCol w:w="850"/>
        <w:gridCol w:w="851"/>
        <w:gridCol w:w="850"/>
      </w:tblGrid>
      <w:tr w:rsidR="003A5550">
        <w:trPr>
          <w:jc w:val="center"/>
        </w:trPr>
        <w:tc>
          <w:tcPr>
            <w:tcW w:w="375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 г.</w:t>
            </w:r>
          </w:p>
        </w:tc>
        <w:tc>
          <w:tcPr>
            <w:tcW w:w="85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85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r>
      <w:tr w:rsidR="003A5550">
        <w:trPr>
          <w:jc w:val="center"/>
        </w:trPr>
        <w:tc>
          <w:tcPr>
            <w:tcW w:w="3757"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r>
      <w:tr w:rsidR="003A5550">
        <w:trPr>
          <w:jc w:val="center"/>
        </w:trPr>
        <w:tc>
          <w:tcPr>
            <w:tcW w:w="3757"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быстрой ликвидности</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0,83</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0,93</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0,96</w:t>
            </w:r>
          </w:p>
        </w:tc>
      </w:tr>
      <w:tr w:rsidR="003A5550">
        <w:trPr>
          <w:jc w:val="center"/>
        </w:trPr>
        <w:tc>
          <w:tcPr>
            <w:tcW w:w="3757"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0,31</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0,24</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r>
      <w:tr w:rsidR="003A5550">
        <w:trPr>
          <w:jc w:val="center"/>
        </w:trPr>
        <w:tc>
          <w:tcPr>
            <w:tcW w:w="3757"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покрытия</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344,12</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3A5550" w:rsidRDefault="003A5550">
      <w:pPr>
        <w:widowControl w:val="0"/>
        <w:tabs>
          <w:tab w:val="left" w:pos="709"/>
        </w:tabs>
        <w:autoSpaceDE w:val="0"/>
        <w:autoSpaceDN w:val="0"/>
        <w:adjustRightInd w:val="0"/>
        <w:spacing w:after="0" w:line="360" w:lineRule="auto"/>
        <w:ind w:firstLine="709"/>
        <w:jc w:val="both"/>
        <w:rPr>
          <w:rFonts w:ascii="Times New Roman CYR" w:hAnsi="Times New Roman CYR" w:cs="Times New Roman CYR"/>
          <w:b/>
          <w:bCs/>
          <w:sz w:val="28"/>
          <w:szCs w:val="28"/>
          <w:lang w:val="uk-UA"/>
        </w:rPr>
      </w:pPr>
    </w:p>
    <w:p w:rsidR="003A5550" w:rsidRDefault="004A2985">
      <w:pPr>
        <w:widowControl w:val="0"/>
        <w:tabs>
          <w:tab w:val="left" w:pos="70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lang w:val="uk-UA"/>
        </w:rPr>
        <w:br w:type="page"/>
      </w:r>
      <w:r w:rsidR="00DB714A">
        <w:rPr>
          <w:rFonts w:ascii="Microsoft Sans Serif" w:hAnsi="Microsoft Sans Serif" w:cs="Microsoft Sans Serif"/>
          <w:noProof/>
          <w:sz w:val="17"/>
          <w:szCs w:val="17"/>
        </w:rPr>
        <w:lastRenderedPageBreak/>
        <w:drawing>
          <wp:inline distT="0" distB="0" distL="0" distR="0">
            <wp:extent cx="2940050" cy="16129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0050" cy="161290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3.11. Показатели ликвидности (в долях), кроме коэффициента покрытия</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2007-2008 гг. коэффициент текущей ликвидности снизился с 1,41 до 1,2, начиная с 2009 г. он увеличивался и в 2011 г. составил 1,3%, но все эти значения ниже нормы. Это значит, что возникает задержка своевременного погашения обязательств предприятия.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Коэффициенты быстрой ликвидности увеличивается в 2007-2009 гг., но только в 2009 г. он имеет значение выше нормативного, из чего можно сделать вывод, что компания справилась с затруднениями, возникающими в виду несвоевременного проведения расчетов с дебиторами. В 2010 г. коэффициент незначительно уменьшился, а в 2011 г. опят опустился ниже нормы.</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коэффициентов абсолютной ликвидности выше верхней отметки нормы, что говорит об «омертвлении» денежных средств (их доля в текущих активах составляла порядка 20%).</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покрытия в 2007 гг. имел зашкаливающие значение, так как величина процентов к уплате очень мала, в 2008 г. до того, как выплатить налоги и проценты компания получила убыток, поэтому коэффициент рассчитывать нецелесообразно, а в 2009-2011 гг. у компании не было данного вида обязательств.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DB714A">
        <w:rPr>
          <w:rFonts w:ascii="Microsoft Sans Serif" w:hAnsi="Microsoft Sans Serif" w:cs="Microsoft Sans Serif"/>
          <w:noProof/>
          <w:sz w:val="17"/>
          <w:szCs w:val="17"/>
        </w:rPr>
        <w:lastRenderedPageBreak/>
        <w:drawing>
          <wp:inline distT="0" distB="0" distL="0" distR="0">
            <wp:extent cx="2324100" cy="14224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0" cy="142240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Рис.3.12. Динамика величины чистого оборотного капитала</w:t>
      </w:r>
      <w:r>
        <w:rPr>
          <w:rFonts w:ascii="Times New Roman CYR" w:hAnsi="Times New Roman CYR" w:cs="Times New Roman CYR"/>
          <w:sz w:val="28"/>
          <w:szCs w:val="28"/>
        </w:rPr>
        <w:t xml:space="preserve"> ОАО ВО «Технопромэкспорт»</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Из приведенных данных можно сделать вывод о том, что абсолютный показатель, характеризующий ликвидность компании, чистый оборотный капитал имеет положитеьное значение на протяжении всего анализируемого периода. Причем с 2007 по 2009 гг. наблюдается тенденция снижения величины ЧОК, так как в 2007-2008 гг. стоимость текущих пассивов прирастает, а в 2009 году снизилась стоимость текущих активов. В 2010-2011 гг. чистый оборотный капитал имеет тенденцию к увеличению, что связано с уменьшением величины текущих пассивов. В целом можем отметить, что у компании достаточно текущих активов для покрытия своих краткосрочных обязательств.</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2514600" cy="15430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0" cy="154305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Рис.3.13. Динамика величины собственных оборотных средств</w:t>
      </w:r>
      <w:r>
        <w:rPr>
          <w:rFonts w:ascii="Times New Roman CYR" w:hAnsi="Times New Roman CYR" w:cs="Times New Roman CYR"/>
          <w:sz w:val="28"/>
          <w:szCs w:val="28"/>
        </w:rPr>
        <w:t xml:space="preserve"> ОАО «ВО «Технопромэкспорт»</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Величина собственных оборотных средств в анализируемом периоде имеет </w:t>
      </w:r>
      <w:r>
        <w:rPr>
          <w:rFonts w:ascii="Times New Roman CYR" w:hAnsi="Times New Roman CYR" w:cs="Times New Roman CYR"/>
          <w:sz w:val="28"/>
          <w:szCs w:val="28"/>
        </w:rPr>
        <w:lastRenderedPageBreak/>
        <w:t>четкую тенденцию к уменьшению, и только в 2011 году наблюдается ее прирост. В 2007-2010 гг. уменьшение СОС объясняется стабильным ежегодным приростом стоимости постоянных активов, а в 2011 г. стоимость постоянных активов уменьшилась, при этом величина собственного капитала на протяжении всего периода исследования колебалась у отметки в 16,7 млрд.руб.</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проведем анализ финансовой устойчивости (табл.3.5).</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3.5. Показатели финансовой устойчивости (в долях)</w:t>
      </w:r>
    </w:p>
    <w:tbl>
      <w:tblPr>
        <w:tblW w:w="0" w:type="auto"/>
        <w:jc w:val="center"/>
        <w:tblLayout w:type="fixed"/>
        <w:tblLook w:val="0000" w:firstRow="0" w:lastRow="0" w:firstColumn="0" w:lastColumn="0" w:noHBand="0" w:noVBand="0"/>
      </w:tblPr>
      <w:tblGrid>
        <w:gridCol w:w="4825"/>
        <w:gridCol w:w="839"/>
        <w:gridCol w:w="850"/>
        <w:gridCol w:w="851"/>
        <w:gridCol w:w="850"/>
        <w:gridCol w:w="851"/>
      </w:tblGrid>
      <w:tr w:rsidR="003A5550">
        <w:trPr>
          <w:jc w:val="center"/>
        </w:trPr>
        <w:tc>
          <w:tcPr>
            <w:tcW w:w="4825"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39"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 г.</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85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85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r>
      <w:tr w:rsidR="003A5550">
        <w:trPr>
          <w:jc w:val="center"/>
        </w:trPr>
        <w:tc>
          <w:tcPr>
            <w:tcW w:w="4825"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концентрации собственного капитала</w:t>
            </w:r>
          </w:p>
        </w:tc>
        <w:tc>
          <w:tcPr>
            <w:tcW w:w="839"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0,47</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0,39</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0,43</w:t>
            </w:r>
          </w:p>
        </w:tc>
        <w:tc>
          <w:tcPr>
            <w:tcW w:w="850" w:type="dxa"/>
            <w:tcBorders>
              <w:top w:val="nil"/>
              <w:left w:val="nil"/>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0,37</w:t>
            </w:r>
          </w:p>
        </w:tc>
        <w:tc>
          <w:tcPr>
            <w:tcW w:w="851"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0,39</w:t>
            </w:r>
          </w:p>
        </w:tc>
      </w:tr>
      <w:tr w:rsidR="003A5550">
        <w:trPr>
          <w:jc w:val="center"/>
        </w:trPr>
        <w:tc>
          <w:tcPr>
            <w:tcW w:w="4825"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концентрации заемного капитала</w:t>
            </w:r>
          </w:p>
        </w:tc>
        <w:tc>
          <w:tcPr>
            <w:tcW w:w="839"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0,61</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0,57</w:t>
            </w:r>
          </w:p>
        </w:tc>
        <w:tc>
          <w:tcPr>
            <w:tcW w:w="850" w:type="dxa"/>
            <w:tcBorders>
              <w:top w:val="nil"/>
              <w:left w:val="nil"/>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0,63</w:t>
            </w:r>
          </w:p>
        </w:tc>
        <w:tc>
          <w:tcPr>
            <w:tcW w:w="851"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0,61</w:t>
            </w:r>
          </w:p>
        </w:tc>
      </w:tr>
      <w:tr w:rsidR="003A5550">
        <w:trPr>
          <w:jc w:val="center"/>
        </w:trPr>
        <w:tc>
          <w:tcPr>
            <w:tcW w:w="4825"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автономии</w:t>
            </w:r>
          </w:p>
        </w:tc>
        <w:tc>
          <w:tcPr>
            <w:tcW w:w="839"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0,64</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0,77</w:t>
            </w:r>
          </w:p>
        </w:tc>
        <w:tc>
          <w:tcPr>
            <w:tcW w:w="850" w:type="dxa"/>
            <w:tcBorders>
              <w:top w:val="nil"/>
              <w:left w:val="nil"/>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0,60</w:t>
            </w:r>
          </w:p>
        </w:tc>
        <w:tc>
          <w:tcPr>
            <w:tcW w:w="851"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0,63</w:t>
            </w:r>
          </w:p>
        </w:tc>
      </w:tr>
      <w:tr w:rsidR="003A5550">
        <w:trPr>
          <w:jc w:val="center"/>
        </w:trPr>
        <w:tc>
          <w:tcPr>
            <w:tcW w:w="4825"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маневренности собственного капитала</w:t>
            </w:r>
          </w:p>
        </w:tc>
        <w:tc>
          <w:tcPr>
            <w:tcW w:w="839"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0,46</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0,28</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0,36</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0,37</w:t>
            </w:r>
          </w:p>
        </w:tc>
      </w:tr>
      <w:tr w:rsidR="003A5550">
        <w:trPr>
          <w:jc w:val="center"/>
        </w:trPr>
        <w:tc>
          <w:tcPr>
            <w:tcW w:w="4825"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w:t>
            </w:r>
            <w:r>
              <w:rPr>
                <w:rFonts w:ascii="Times New Roman CYR" w:hAnsi="Times New Roman CYR" w:cs="Times New Roman CYR"/>
                <w:sz w:val="20"/>
                <w:szCs w:val="20"/>
                <w:vertAlign w:val="subscript"/>
              </w:rPr>
              <w:t>сос</w:t>
            </w:r>
          </w:p>
        </w:tc>
        <w:tc>
          <w:tcPr>
            <w:tcW w:w="839"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0,29</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0,21</w:t>
            </w:r>
          </w:p>
        </w:tc>
      </w:tr>
      <w:tr w:rsidR="003A5550">
        <w:trPr>
          <w:jc w:val="center"/>
        </w:trPr>
        <w:tc>
          <w:tcPr>
            <w:tcW w:w="4825"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обеспеч.з</w:t>
            </w:r>
          </w:p>
        </w:tc>
        <w:tc>
          <w:tcPr>
            <w:tcW w:w="839"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0,73</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0,73</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3,61</w:t>
            </w:r>
          </w:p>
        </w:tc>
      </w:tr>
      <w:tr w:rsidR="003A5550">
        <w:trPr>
          <w:jc w:val="center"/>
        </w:trPr>
        <w:tc>
          <w:tcPr>
            <w:tcW w:w="4825"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обесп.ди</w:t>
            </w:r>
          </w:p>
        </w:tc>
        <w:tc>
          <w:tcPr>
            <w:tcW w:w="839"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0,55</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0,72</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0,74</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0,71</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0,69</w:t>
            </w:r>
          </w:p>
        </w:tc>
      </w:tr>
    </w:tbl>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771900" cy="197485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71900" cy="197485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3.14.Коэффициенты финансовой устойчивости</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концентрации собственного капитала характеризует долю собственного капитала в имуществе фирмы.</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Данный показатель в целом за период снижается с 47 до 39%, то есть именно эту долю в финансировании деятельности занимает собственный капитал. Можно отметить, что если эта доля будет снижаться и в дальнейшем, то компания может потерять финансовую устойчивость и относительную </w:t>
      </w:r>
      <w:r>
        <w:rPr>
          <w:rFonts w:ascii="Times New Roman CYR" w:hAnsi="Times New Roman CYR" w:cs="Times New Roman CYR"/>
          <w:sz w:val="28"/>
          <w:szCs w:val="28"/>
        </w:rPr>
        <w:lastRenderedPageBreak/>
        <w:t>независимость от внешних источников.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Соответственно в финансировании деятельности большую долю занимает привлеченный капитал. Соответственно, автономность компании имела самое высокое значение в 2007 г. - 90%, затем коэффициент снизился до 63% в 2011 г.</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коэффициента маневренности с 2007 по 2009 гг. снижается с 0,46 до 0,26, то есть все меньше собственного капитала идет на финансирование текущей деятельности. Но в 2010-2011 гг. наблюдается тенденция к росту коэффициента.</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3702050" cy="147955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2050" cy="147955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3.15. Коэффициенты финансовой устойчивости</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собственных оборотных средств в целом за период снижается с 29 до 17%, затем в 2010-2011 гг. незначительно увеличивается до 20 и 21%, это говорит о том, что все меньше собственных средств идет на финансирование текущих активов.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Обеспеченность запасов собственными источниками финансирования в 2007-2008 гг. и 2009-2010 гг. не изменялась и составила 0,73 и 2,71, соответственно, это говорит о том, что собственных средств у компании более чем достаточно для покрытия сумм запасов.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Доля собственных средств и долгосрочных пассивов, направляемых на финансирование постоянных активов, в периоде увеличивается с 55 до 74% в 2007-2009 гг., затем наблюдается снижение до 69% в 2011 г., но мы видим, что </w:t>
      </w:r>
      <w:r>
        <w:rPr>
          <w:rFonts w:ascii="Times New Roman CYR" w:hAnsi="Times New Roman CYR" w:cs="Times New Roman CYR"/>
          <w:sz w:val="28"/>
          <w:szCs w:val="28"/>
        </w:rPr>
        <w:lastRenderedPageBreak/>
        <w:t>более половины собственных средств и долгосрочных обязательств расходуются на постоянные активы.</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чистых активов (табл. 3.6).</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3.6. Чистые активы ОАО «ВО «Технопромэкспорт», тыс.руб.</w:t>
      </w:r>
    </w:p>
    <w:tbl>
      <w:tblPr>
        <w:tblW w:w="0" w:type="auto"/>
        <w:jc w:val="center"/>
        <w:tblLayout w:type="fixed"/>
        <w:tblLook w:val="0000" w:firstRow="0" w:lastRow="0" w:firstColumn="0" w:lastColumn="0" w:noHBand="0" w:noVBand="0"/>
      </w:tblPr>
      <w:tblGrid>
        <w:gridCol w:w="3487"/>
        <w:gridCol w:w="1116"/>
        <w:gridCol w:w="1016"/>
        <w:gridCol w:w="1122"/>
        <w:gridCol w:w="1016"/>
        <w:gridCol w:w="1016"/>
      </w:tblGrid>
      <w:tr w:rsidR="003A5550">
        <w:trPr>
          <w:jc w:val="center"/>
        </w:trPr>
        <w:tc>
          <w:tcPr>
            <w:tcW w:w="348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116"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 г.</w:t>
            </w:r>
          </w:p>
        </w:tc>
        <w:tc>
          <w:tcPr>
            <w:tcW w:w="1016"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1122"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1016"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1016"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r>
      <w:tr w:rsidR="003A5550">
        <w:trPr>
          <w:jc w:val="center"/>
        </w:trPr>
        <w:tc>
          <w:tcPr>
            <w:tcW w:w="3487"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Чистые активы (ЧА)</w:t>
            </w:r>
          </w:p>
        </w:tc>
        <w:tc>
          <w:tcPr>
            <w:tcW w:w="1116"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17238573</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16087869</w:t>
            </w:r>
          </w:p>
        </w:tc>
        <w:tc>
          <w:tcPr>
            <w:tcW w:w="112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16522905</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16845972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16885232</w:t>
            </w:r>
          </w:p>
        </w:tc>
      </w:tr>
      <w:tr w:rsidR="003A5550">
        <w:trPr>
          <w:jc w:val="center"/>
        </w:trPr>
        <w:tc>
          <w:tcPr>
            <w:tcW w:w="3487"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Уставный капитал (УК) </w:t>
            </w:r>
          </w:p>
        </w:tc>
        <w:tc>
          <w:tcPr>
            <w:tcW w:w="1116"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15705732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15705732</w:t>
            </w:r>
          </w:p>
        </w:tc>
        <w:tc>
          <w:tcPr>
            <w:tcW w:w="112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15705732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15705732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15705732</w:t>
            </w:r>
          </w:p>
        </w:tc>
      </w:tr>
      <w:tr w:rsidR="003A5550">
        <w:trPr>
          <w:jc w:val="center"/>
        </w:trPr>
        <w:tc>
          <w:tcPr>
            <w:tcW w:w="3487"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Минимальный размер уставного капитала</w:t>
            </w:r>
          </w:p>
        </w:tc>
        <w:tc>
          <w:tcPr>
            <w:tcW w:w="1116"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2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3A5550">
        <w:trPr>
          <w:jc w:val="center"/>
        </w:trPr>
        <w:tc>
          <w:tcPr>
            <w:tcW w:w="3487"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Превышение чистых активов над уставным капиталом (ЧА-УК*)</w:t>
            </w:r>
          </w:p>
        </w:tc>
        <w:tc>
          <w:tcPr>
            <w:tcW w:w="1116"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1532841</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382137</w:t>
            </w:r>
          </w:p>
        </w:tc>
        <w:tc>
          <w:tcPr>
            <w:tcW w:w="112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817173</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1140240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1179500</w:t>
            </w:r>
          </w:p>
        </w:tc>
      </w:tr>
      <w:tr w:rsidR="003A5550">
        <w:trPr>
          <w:jc w:val="center"/>
        </w:trPr>
        <w:tc>
          <w:tcPr>
            <w:tcW w:w="3487"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Превышение чистых активов над минимальным размером уставного капитала</w:t>
            </w:r>
          </w:p>
        </w:tc>
        <w:tc>
          <w:tcPr>
            <w:tcW w:w="1116"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17238473</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16087769</w:t>
            </w:r>
          </w:p>
        </w:tc>
        <w:tc>
          <w:tcPr>
            <w:tcW w:w="112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16522805</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16845872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16885132</w:t>
            </w:r>
          </w:p>
        </w:tc>
      </w:tr>
    </w:tbl>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62450" cy="25654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2450" cy="256540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3.16. Чистые активы ОАО «ВО «Технопромэкспорт»</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протяжении всего исследуемого периода чистые активы компании превышали уставный капитал, это объясняется высокой долей внеоборотных и оборотных активов, маленькой стоимость долгосрочных обязательств. Это говорит о том, что ОАО «ВО «Технопромэкспорт» имеет имущественную базу, которая при наступлении неблагоприятных обстоятельств может быть использована для исполнения ее обязательств.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проанализируем выбранные компанией принципы распоряжения </w:t>
      </w:r>
      <w:r>
        <w:rPr>
          <w:rFonts w:ascii="Times New Roman CYR" w:hAnsi="Times New Roman CYR" w:cs="Times New Roman CYR"/>
          <w:sz w:val="28"/>
          <w:szCs w:val="28"/>
        </w:rPr>
        <w:lastRenderedPageBreak/>
        <w:t>собственным капиталом (табл. 3.7).</w:t>
      </w:r>
    </w:p>
    <w:p w:rsidR="003A5550" w:rsidRDefault="003A5550">
      <w:pPr>
        <w:widowControl w:val="0"/>
        <w:tabs>
          <w:tab w:val="left" w:pos="2775"/>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3A5550" w:rsidRDefault="004A2985">
      <w:pPr>
        <w:widowControl w:val="0"/>
        <w:tabs>
          <w:tab w:val="left" w:pos="277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3.7. Анализ самофинансирования с 2008 по 2011г.</w:t>
      </w:r>
    </w:p>
    <w:tbl>
      <w:tblPr>
        <w:tblW w:w="0" w:type="auto"/>
        <w:jc w:val="center"/>
        <w:tblLayout w:type="fixed"/>
        <w:tblLook w:val="0000" w:firstRow="0" w:lastRow="0" w:firstColumn="0" w:lastColumn="0" w:noHBand="0" w:noVBand="0"/>
      </w:tblPr>
      <w:tblGrid>
        <w:gridCol w:w="4614"/>
        <w:gridCol w:w="1096"/>
        <w:gridCol w:w="993"/>
        <w:gridCol w:w="992"/>
        <w:gridCol w:w="850"/>
      </w:tblGrid>
      <w:tr w:rsidR="003A5550">
        <w:trPr>
          <w:jc w:val="center"/>
        </w:trPr>
        <w:tc>
          <w:tcPr>
            <w:tcW w:w="461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1096"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993"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992"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r>
      <w:tr w:rsidR="003A5550">
        <w:trPr>
          <w:jc w:val="center"/>
        </w:trPr>
        <w:tc>
          <w:tcPr>
            <w:tcW w:w="4614"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накопленного капитала*, тыс. руб.</w:t>
            </w:r>
          </w:p>
        </w:tc>
        <w:tc>
          <w:tcPr>
            <w:tcW w:w="109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-1150704</w:t>
            </w:r>
          </w:p>
        </w:tc>
        <w:tc>
          <w:tcPr>
            <w:tcW w:w="99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435036</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265091</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104670</w:t>
            </w:r>
          </w:p>
        </w:tc>
      </w:tr>
      <w:tr w:rsidR="003A5550">
        <w:trPr>
          <w:jc w:val="center"/>
        </w:trPr>
        <w:tc>
          <w:tcPr>
            <w:tcW w:w="4614"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тыс. руб.</w:t>
            </w:r>
          </w:p>
        </w:tc>
        <w:tc>
          <w:tcPr>
            <w:tcW w:w="109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-806251</w:t>
            </w:r>
          </w:p>
        </w:tc>
        <w:tc>
          <w:tcPr>
            <w:tcW w:w="99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405153</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323534</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185553</w:t>
            </w:r>
          </w:p>
        </w:tc>
      </w:tr>
      <w:tr w:rsidR="003A5550">
        <w:trPr>
          <w:jc w:val="center"/>
        </w:trPr>
        <w:tc>
          <w:tcPr>
            <w:tcW w:w="4614"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Коэффициент самофинансирования</w:t>
            </w:r>
          </w:p>
        </w:tc>
        <w:tc>
          <w:tcPr>
            <w:tcW w:w="109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0,82</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0,56</w:t>
            </w:r>
          </w:p>
        </w:tc>
      </w:tr>
      <w:tr w:rsidR="003A5550">
        <w:trPr>
          <w:jc w:val="center"/>
        </w:trPr>
        <w:tc>
          <w:tcPr>
            <w:tcW w:w="4614"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ЧОК*, тыс. руб.</w:t>
            </w:r>
          </w:p>
        </w:tc>
        <w:tc>
          <w:tcPr>
            <w:tcW w:w="109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-3366421</w:t>
            </w:r>
          </w:p>
        </w:tc>
        <w:tc>
          <w:tcPr>
            <w:tcW w:w="99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-216445</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1718349</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255999</w:t>
            </w:r>
          </w:p>
        </w:tc>
      </w:tr>
      <w:tr w:rsidR="003A5550">
        <w:trPr>
          <w:jc w:val="center"/>
        </w:trPr>
        <w:tc>
          <w:tcPr>
            <w:tcW w:w="4614"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Коэффициент мобилизации накопленного капитала</w:t>
            </w:r>
          </w:p>
        </w:tc>
        <w:tc>
          <w:tcPr>
            <w:tcW w:w="109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6,48</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r>
    </w:tbl>
    <w:p w:rsidR="003A5550" w:rsidRDefault="003A5550">
      <w:pPr>
        <w:widowControl w:val="0"/>
        <w:tabs>
          <w:tab w:val="left" w:pos="2775"/>
        </w:tabs>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tabs>
          <w:tab w:val="left" w:pos="277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данные таблицы, видим, что коэффициент самофинансирования в 2009-2011 гг. уменьшается, это говорит о том, что все меньше чистой прибыли тратиться на развитие компании, так как абсолютный прирост чистой прибыли выше, чем прирост сумм накопленного капитала (в частности прирост сумм нераспределенной прибыли).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мобилизации накопленного капитала рассчитывается только в 2010 и 2011 гг. имеет значение больше 100%, это говорит о том, что финансирование чистого оборотного капитала осуществлялось не только за счет собственных средств, но и за счет выбытия (продажи) большой части постоянных активов.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денежных потоков завершает анализ финансового состояния компании.</w:t>
      </w:r>
    </w:p>
    <w:p w:rsidR="003A5550" w:rsidRDefault="003A5550">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3.8. Динамика потоков денежных средств по видам деятельности за 2007-2011г., тыс. руб.</w:t>
      </w:r>
    </w:p>
    <w:tbl>
      <w:tblPr>
        <w:tblW w:w="0" w:type="auto"/>
        <w:jc w:val="center"/>
        <w:tblLayout w:type="fixed"/>
        <w:tblLook w:val="0000" w:firstRow="0" w:lastRow="0" w:firstColumn="0" w:lastColumn="0" w:noHBand="0" w:noVBand="0"/>
      </w:tblPr>
      <w:tblGrid>
        <w:gridCol w:w="3974"/>
        <w:gridCol w:w="991"/>
        <w:gridCol w:w="992"/>
        <w:gridCol w:w="992"/>
        <w:gridCol w:w="993"/>
        <w:gridCol w:w="992"/>
      </w:tblGrid>
      <w:tr w:rsidR="003A5550">
        <w:trPr>
          <w:jc w:val="center"/>
        </w:trPr>
        <w:tc>
          <w:tcPr>
            <w:tcW w:w="3974"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9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 г.</w:t>
            </w:r>
          </w:p>
        </w:tc>
        <w:tc>
          <w:tcPr>
            <w:tcW w:w="992"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992"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993"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992"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r>
      <w:tr w:rsidR="003A5550">
        <w:trPr>
          <w:jc w:val="center"/>
        </w:trPr>
        <w:tc>
          <w:tcPr>
            <w:tcW w:w="3974" w:type="dxa"/>
            <w:tcBorders>
              <w:top w:val="single" w:sz="6" w:space="0" w:color="auto"/>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Остаток денежных средств на начало года</w:t>
            </w:r>
          </w:p>
        </w:tc>
        <w:tc>
          <w:tcPr>
            <w:tcW w:w="991"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6379854</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4339080</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5125640</w:t>
            </w:r>
          </w:p>
        </w:tc>
        <w:tc>
          <w:tcPr>
            <w:tcW w:w="99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5627598</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5967584</w:t>
            </w:r>
          </w:p>
        </w:tc>
      </w:tr>
      <w:tr w:rsidR="003A5550">
        <w:trPr>
          <w:jc w:val="center"/>
        </w:trPr>
        <w:tc>
          <w:tcPr>
            <w:tcW w:w="3974"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Поток денежных средств по текущей деятельности</w:t>
            </w:r>
          </w:p>
        </w:tc>
        <w:tc>
          <w:tcPr>
            <w:tcW w:w="991"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4340210</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2661017</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1090465</w:t>
            </w:r>
          </w:p>
        </w:tc>
        <w:tc>
          <w:tcPr>
            <w:tcW w:w="99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369364</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-1062311</w:t>
            </w:r>
          </w:p>
        </w:tc>
      </w:tr>
      <w:tr w:rsidR="003A5550">
        <w:trPr>
          <w:jc w:val="center"/>
        </w:trPr>
        <w:tc>
          <w:tcPr>
            <w:tcW w:w="3974"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Поток денежных средств по инвестиционной деятельности</w:t>
            </w:r>
          </w:p>
        </w:tc>
        <w:tc>
          <w:tcPr>
            <w:tcW w:w="991"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-6163120</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-1955429</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-306069</w:t>
            </w:r>
          </w:p>
        </w:tc>
        <w:tc>
          <w:tcPr>
            <w:tcW w:w="99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253620</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139239</w:t>
            </w:r>
          </w:p>
        </w:tc>
      </w:tr>
      <w:tr w:rsidR="003A5550">
        <w:trPr>
          <w:jc w:val="center"/>
        </w:trPr>
        <w:tc>
          <w:tcPr>
            <w:tcW w:w="3974"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Поток денежных средств по финансовой деятельности</w:t>
            </w:r>
          </w:p>
        </w:tc>
        <w:tc>
          <w:tcPr>
            <w:tcW w:w="991"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-629000</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-160000</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-282488</w:t>
            </w:r>
          </w:p>
        </w:tc>
        <w:tc>
          <w:tcPr>
            <w:tcW w:w="99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-101250</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-80883</w:t>
            </w:r>
          </w:p>
        </w:tc>
      </w:tr>
      <w:tr w:rsidR="003A5550">
        <w:trPr>
          <w:jc w:val="center"/>
        </w:trPr>
        <w:tc>
          <w:tcPr>
            <w:tcW w:w="3974"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Чистое уменьшение или увеличение денежных средств</w:t>
            </w:r>
          </w:p>
        </w:tc>
        <w:tc>
          <w:tcPr>
            <w:tcW w:w="991"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-2451910</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545588</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501908</w:t>
            </w:r>
          </w:p>
        </w:tc>
        <w:tc>
          <w:tcPr>
            <w:tcW w:w="99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521734</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-1003955</w:t>
            </w:r>
          </w:p>
        </w:tc>
      </w:tr>
      <w:tr w:rsidR="003A5550">
        <w:trPr>
          <w:jc w:val="center"/>
        </w:trPr>
        <w:tc>
          <w:tcPr>
            <w:tcW w:w="3974"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Величина влияния изменений курса иностранной валюты по отношению к рублю</w:t>
            </w:r>
          </w:p>
        </w:tc>
        <w:tc>
          <w:tcPr>
            <w:tcW w:w="991"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-57821</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-424082</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438322</w:t>
            </w:r>
          </w:p>
        </w:tc>
        <w:tc>
          <w:tcPr>
            <w:tcW w:w="99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-181748</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215138</w:t>
            </w:r>
          </w:p>
        </w:tc>
      </w:tr>
      <w:tr w:rsidR="003A5550">
        <w:trPr>
          <w:jc w:val="center"/>
        </w:trPr>
        <w:tc>
          <w:tcPr>
            <w:tcW w:w="3974"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Остаток денежных средств на конец года</w:t>
            </w:r>
          </w:p>
        </w:tc>
        <w:tc>
          <w:tcPr>
            <w:tcW w:w="991"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3870123</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4460586</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6065870</w:t>
            </w:r>
          </w:p>
        </w:tc>
        <w:tc>
          <w:tcPr>
            <w:tcW w:w="99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5967584</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5178767</w:t>
            </w:r>
          </w:p>
        </w:tc>
      </w:tr>
    </w:tbl>
    <w:p w:rsidR="003A5550" w:rsidRDefault="003A5550">
      <w:pPr>
        <w:widowControl w:val="0"/>
        <w:tabs>
          <w:tab w:val="left" w:pos="2775"/>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A5550" w:rsidRDefault="00DB714A">
      <w:pPr>
        <w:widowControl w:val="0"/>
        <w:tabs>
          <w:tab w:val="left" w:pos="2775"/>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3124200" cy="19621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4200" cy="196215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3.17. Динамика остатков на конец года ОАО «ВО «Технопромэкспорт»</w:t>
      </w:r>
    </w:p>
    <w:p w:rsidR="003A5550" w:rsidRDefault="003A5550">
      <w:pPr>
        <w:widowControl w:val="0"/>
        <w:tabs>
          <w:tab w:val="left" w:pos="2775"/>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A5550" w:rsidRDefault="004A2985">
      <w:pPr>
        <w:widowControl w:val="0"/>
        <w:tabs>
          <w:tab w:val="left" w:pos="277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Из рисунка видим, что остатки денежных средств на конец года в 2007-2009 гг. увеличивались, что связано с ростом потока по текущей деятельности, затем в 2010-2011 гг. притоки по текущей деятельности резко сокращаются, а в 2011 гг. имеют отрицательное значение, в следствие чего уменьшаются и остатки денежных средств на конец года.</w:t>
      </w:r>
    </w:p>
    <w:p w:rsidR="003A5550" w:rsidRDefault="003A5550">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tabs>
          <w:tab w:val="left" w:pos="85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Таблица 3.9. Динамика денежных потоков и оттоков за 2007-2011г., тыс. руб.</w:t>
      </w:r>
    </w:p>
    <w:tbl>
      <w:tblPr>
        <w:tblW w:w="0" w:type="auto"/>
        <w:jc w:val="center"/>
        <w:tblLayout w:type="fixed"/>
        <w:tblLook w:val="0000" w:firstRow="0" w:lastRow="0" w:firstColumn="0" w:lastColumn="0" w:noHBand="0" w:noVBand="0"/>
      </w:tblPr>
      <w:tblGrid>
        <w:gridCol w:w="2982"/>
        <w:gridCol w:w="972"/>
        <w:gridCol w:w="1071"/>
        <w:gridCol w:w="1071"/>
        <w:gridCol w:w="1071"/>
        <w:gridCol w:w="1071"/>
        <w:gridCol w:w="1071"/>
      </w:tblGrid>
      <w:tr w:rsidR="003A5550">
        <w:trPr>
          <w:jc w:val="center"/>
        </w:trPr>
        <w:tc>
          <w:tcPr>
            <w:tcW w:w="3954" w:type="dxa"/>
            <w:gridSpan w:val="2"/>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07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 г.</w:t>
            </w:r>
          </w:p>
        </w:tc>
        <w:tc>
          <w:tcPr>
            <w:tcW w:w="107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107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107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107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r>
      <w:tr w:rsidR="003A5550">
        <w:trPr>
          <w:jc w:val="center"/>
        </w:trPr>
        <w:tc>
          <w:tcPr>
            <w:tcW w:w="2982"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Движение денежных средств по текущей деятельности</w:t>
            </w:r>
          </w:p>
        </w:tc>
        <w:tc>
          <w:tcPr>
            <w:tcW w:w="97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притоки</w:t>
            </w:r>
          </w:p>
        </w:tc>
        <w:tc>
          <w:tcPr>
            <w:tcW w:w="1071"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43631772</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41467177</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19410991</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16821994</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22309336</w:t>
            </w:r>
          </w:p>
        </w:tc>
      </w:tr>
      <w:tr w:rsidR="003A5550">
        <w:trPr>
          <w:jc w:val="center"/>
        </w:trPr>
        <w:tc>
          <w:tcPr>
            <w:tcW w:w="2982" w:type="dxa"/>
            <w:tcBorders>
              <w:top w:val="nil"/>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97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оттоки</w:t>
            </w:r>
          </w:p>
        </w:tc>
        <w:tc>
          <w:tcPr>
            <w:tcW w:w="1071"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39291562</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38806160</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18320526</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16452630</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23371647</w:t>
            </w:r>
          </w:p>
        </w:tc>
      </w:tr>
      <w:tr w:rsidR="003A5550">
        <w:trPr>
          <w:jc w:val="center"/>
        </w:trPr>
        <w:tc>
          <w:tcPr>
            <w:tcW w:w="2982"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Движение денежных средств по инвестиционной деятельности</w:t>
            </w:r>
          </w:p>
        </w:tc>
        <w:tc>
          <w:tcPr>
            <w:tcW w:w="97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притоки</w:t>
            </w:r>
          </w:p>
        </w:tc>
        <w:tc>
          <w:tcPr>
            <w:tcW w:w="1071"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2109619</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2636311</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288092</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285822</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195506</w:t>
            </w:r>
          </w:p>
        </w:tc>
      </w:tr>
      <w:tr w:rsidR="003A5550">
        <w:trPr>
          <w:jc w:val="center"/>
        </w:trPr>
        <w:tc>
          <w:tcPr>
            <w:tcW w:w="2982" w:type="dxa"/>
            <w:tcBorders>
              <w:top w:val="nil"/>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97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оттоки</w:t>
            </w:r>
          </w:p>
        </w:tc>
        <w:tc>
          <w:tcPr>
            <w:tcW w:w="1071"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8272739</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4591740</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594161</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32202</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56267</w:t>
            </w:r>
          </w:p>
        </w:tc>
      </w:tr>
      <w:tr w:rsidR="003A5550">
        <w:trPr>
          <w:jc w:val="center"/>
        </w:trPr>
        <w:tc>
          <w:tcPr>
            <w:tcW w:w="2982" w:type="dxa"/>
            <w:tcBorders>
              <w:top w:val="nil"/>
              <w:left w:val="single" w:sz="6" w:space="0" w:color="auto"/>
              <w:bottom w:val="nil"/>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Движение денежных средств по финансовой деятельности</w:t>
            </w:r>
          </w:p>
        </w:tc>
        <w:tc>
          <w:tcPr>
            <w:tcW w:w="97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притоки</w:t>
            </w:r>
          </w:p>
        </w:tc>
        <w:tc>
          <w:tcPr>
            <w:tcW w:w="1071"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9246657</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210000</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688000</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7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A5550">
        <w:trPr>
          <w:jc w:val="center"/>
        </w:trPr>
        <w:tc>
          <w:tcPr>
            <w:tcW w:w="2982" w:type="dxa"/>
            <w:tcBorders>
              <w:top w:val="nil"/>
              <w:left w:val="single" w:sz="6" w:space="0" w:color="auto"/>
              <w:bottom w:val="nil"/>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972" w:type="dxa"/>
            <w:tcBorders>
              <w:top w:val="nil"/>
              <w:left w:val="nil"/>
              <w:bottom w:val="nil"/>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оттоки</w:t>
            </w:r>
          </w:p>
        </w:tc>
        <w:tc>
          <w:tcPr>
            <w:tcW w:w="1071" w:type="dxa"/>
            <w:tcBorders>
              <w:top w:val="nil"/>
              <w:left w:val="single" w:sz="6" w:space="0" w:color="auto"/>
              <w:bottom w:val="nil"/>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9875657</w:t>
            </w:r>
          </w:p>
        </w:tc>
        <w:tc>
          <w:tcPr>
            <w:tcW w:w="1071" w:type="dxa"/>
            <w:tcBorders>
              <w:top w:val="nil"/>
              <w:left w:val="nil"/>
              <w:bottom w:val="nil"/>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370000</w:t>
            </w:r>
          </w:p>
        </w:tc>
        <w:tc>
          <w:tcPr>
            <w:tcW w:w="1071" w:type="dxa"/>
            <w:tcBorders>
              <w:top w:val="nil"/>
              <w:left w:val="nil"/>
              <w:bottom w:val="nil"/>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970488</w:t>
            </w:r>
          </w:p>
        </w:tc>
        <w:tc>
          <w:tcPr>
            <w:tcW w:w="1071" w:type="dxa"/>
            <w:tcBorders>
              <w:top w:val="nil"/>
              <w:left w:val="nil"/>
              <w:bottom w:val="nil"/>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101250</w:t>
            </w:r>
          </w:p>
        </w:tc>
        <w:tc>
          <w:tcPr>
            <w:tcW w:w="1071" w:type="dxa"/>
            <w:tcBorders>
              <w:top w:val="nil"/>
              <w:left w:val="nil"/>
              <w:bottom w:val="nil"/>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80883</w:t>
            </w:r>
          </w:p>
        </w:tc>
      </w:tr>
      <w:tr w:rsidR="003A5550">
        <w:trPr>
          <w:jc w:val="center"/>
        </w:trPr>
        <w:tc>
          <w:tcPr>
            <w:tcW w:w="3954" w:type="dxa"/>
            <w:gridSpan w:val="2"/>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Чистое уменьшение или увеличение денежных средств</w:t>
            </w:r>
          </w:p>
        </w:tc>
        <w:tc>
          <w:tcPr>
            <w:tcW w:w="107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-2451910</w:t>
            </w:r>
          </w:p>
        </w:tc>
        <w:tc>
          <w:tcPr>
            <w:tcW w:w="107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545588</w:t>
            </w:r>
          </w:p>
        </w:tc>
        <w:tc>
          <w:tcPr>
            <w:tcW w:w="107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501908</w:t>
            </w:r>
          </w:p>
        </w:tc>
        <w:tc>
          <w:tcPr>
            <w:tcW w:w="107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521734</w:t>
            </w:r>
          </w:p>
        </w:tc>
        <w:tc>
          <w:tcPr>
            <w:tcW w:w="107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-1003955</w:t>
            </w:r>
          </w:p>
        </w:tc>
      </w:tr>
    </w:tbl>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sidR="00DB714A">
        <w:rPr>
          <w:rFonts w:ascii="Microsoft Sans Serif" w:hAnsi="Microsoft Sans Serif" w:cs="Microsoft Sans Serif"/>
          <w:noProof/>
          <w:sz w:val="17"/>
          <w:szCs w:val="17"/>
        </w:rPr>
        <w:lastRenderedPageBreak/>
        <w:drawing>
          <wp:inline distT="0" distB="0" distL="0" distR="0">
            <wp:extent cx="3587750" cy="18478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7750" cy="184785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3.18. Динамика увеличения или уменьшения денежных средств ОАО «ВО «Технопромэкспорт»</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В 2008-2010 гг. денежные средства увеличивались на 546, 502 и 522 млн.руб., соответственно, что связано с большими притоками по текущей деятельности, а также в 2008 г. с увеличением притока от инвестиционной деятельности на 527 млн.руб., а в 2009 г. - от финансовой деятельности на 478 млн.руб. Уменьшения денежных средств отмечены в 2007 и 2011 гг., причем в 2007 году это связано с большими оттоками по всем видам деятельности, а в 2011 г. - с увеличением на 6,9 млрд.руб. оттоков по текущей деятельности.</w:t>
      </w:r>
    </w:p>
    <w:p w:rsidR="003A5550" w:rsidRDefault="003A5550">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3.10. Структура денежных потоков и оттоков за 2007-2011г., %</w:t>
      </w:r>
    </w:p>
    <w:tbl>
      <w:tblPr>
        <w:tblW w:w="0" w:type="auto"/>
        <w:jc w:val="center"/>
        <w:tblLayout w:type="fixed"/>
        <w:tblLook w:val="0000" w:firstRow="0" w:lastRow="0" w:firstColumn="0" w:lastColumn="0" w:noHBand="0" w:noVBand="0"/>
      </w:tblPr>
      <w:tblGrid>
        <w:gridCol w:w="3396"/>
        <w:gridCol w:w="850"/>
        <w:gridCol w:w="851"/>
        <w:gridCol w:w="850"/>
        <w:gridCol w:w="851"/>
        <w:gridCol w:w="850"/>
      </w:tblGrid>
      <w:tr w:rsidR="003A5550">
        <w:trPr>
          <w:jc w:val="center"/>
        </w:trPr>
        <w:tc>
          <w:tcPr>
            <w:tcW w:w="3396" w:type="dxa"/>
            <w:tcBorders>
              <w:top w:val="single" w:sz="6" w:space="0" w:color="auto"/>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 г.</w:t>
            </w:r>
          </w:p>
        </w:tc>
        <w:tc>
          <w:tcPr>
            <w:tcW w:w="85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85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r>
      <w:tr w:rsidR="003A5550">
        <w:trPr>
          <w:jc w:val="center"/>
        </w:trPr>
        <w:tc>
          <w:tcPr>
            <w:tcW w:w="3396" w:type="dxa"/>
            <w:tcBorders>
              <w:top w:val="single" w:sz="6" w:space="0" w:color="auto"/>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 xml:space="preserve">Притоки денежных средств </w:t>
            </w:r>
          </w:p>
        </w:tc>
        <w:tc>
          <w:tcPr>
            <w:tcW w:w="850"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rPr>
          <w:jc w:val="center"/>
        </w:trPr>
        <w:tc>
          <w:tcPr>
            <w:tcW w:w="3396"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текущей деятельности</w:t>
            </w:r>
          </w:p>
        </w:tc>
        <w:tc>
          <w:tcPr>
            <w:tcW w:w="850"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79,35</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93,58</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95,21</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98,33</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99,13</w:t>
            </w:r>
          </w:p>
        </w:tc>
      </w:tr>
      <w:tr w:rsidR="003A5550">
        <w:trPr>
          <w:jc w:val="center"/>
        </w:trPr>
        <w:tc>
          <w:tcPr>
            <w:tcW w:w="3396"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инвестиционной деятельности</w:t>
            </w:r>
          </w:p>
        </w:tc>
        <w:tc>
          <w:tcPr>
            <w:tcW w:w="850"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5,95</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w:t>
            </w:r>
          </w:p>
        </w:tc>
      </w:tr>
      <w:tr w:rsidR="003A5550">
        <w:trPr>
          <w:jc w:val="center"/>
        </w:trPr>
        <w:tc>
          <w:tcPr>
            <w:tcW w:w="3396"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финансовой деятельности</w:t>
            </w:r>
          </w:p>
        </w:tc>
        <w:tc>
          <w:tcPr>
            <w:tcW w:w="850"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16,82</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0,47</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3A5550">
        <w:trPr>
          <w:jc w:val="center"/>
        </w:trPr>
        <w:tc>
          <w:tcPr>
            <w:tcW w:w="3396"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Итого притоков денежных средств</w:t>
            </w:r>
          </w:p>
        </w:tc>
        <w:tc>
          <w:tcPr>
            <w:tcW w:w="850"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3A5550">
        <w:trPr>
          <w:jc w:val="center"/>
        </w:trPr>
        <w:tc>
          <w:tcPr>
            <w:tcW w:w="3396"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Оттоки денежных средств</w:t>
            </w:r>
          </w:p>
        </w:tc>
        <w:tc>
          <w:tcPr>
            <w:tcW w:w="850"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3A5550">
        <w:trPr>
          <w:jc w:val="center"/>
        </w:trPr>
        <w:tc>
          <w:tcPr>
            <w:tcW w:w="3396"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текущей деятельности</w:t>
            </w:r>
          </w:p>
        </w:tc>
        <w:tc>
          <w:tcPr>
            <w:tcW w:w="850"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68,40</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88,66</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92,13</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99,20</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99,42</w:t>
            </w:r>
          </w:p>
        </w:tc>
      </w:tr>
      <w:tr w:rsidR="003A5550">
        <w:trPr>
          <w:jc w:val="center"/>
        </w:trPr>
        <w:tc>
          <w:tcPr>
            <w:tcW w:w="3396"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инвестиционной деятельности</w:t>
            </w:r>
          </w:p>
        </w:tc>
        <w:tc>
          <w:tcPr>
            <w:tcW w:w="850"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14,40</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10,49</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0,24</w:t>
            </w:r>
          </w:p>
        </w:tc>
      </w:tr>
      <w:tr w:rsidR="003A5550">
        <w:trPr>
          <w:jc w:val="center"/>
        </w:trPr>
        <w:tc>
          <w:tcPr>
            <w:tcW w:w="3396"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финансовой деятельности</w:t>
            </w:r>
          </w:p>
        </w:tc>
        <w:tc>
          <w:tcPr>
            <w:tcW w:w="850"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17,19</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0,85</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0,61</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r>
      <w:tr w:rsidR="003A5550">
        <w:trPr>
          <w:jc w:val="center"/>
        </w:trPr>
        <w:tc>
          <w:tcPr>
            <w:tcW w:w="3396"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Итого оттоков денежных средств</w:t>
            </w:r>
          </w:p>
        </w:tc>
        <w:tc>
          <w:tcPr>
            <w:tcW w:w="850"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bl>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sidR="00DB714A">
        <w:rPr>
          <w:rFonts w:ascii="Microsoft Sans Serif" w:hAnsi="Microsoft Sans Serif" w:cs="Microsoft Sans Serif"/>
          <w:noProof/>
          <w:sz w:val="17"/>
          <w:szCs w:val="17"/>
        </w:rPr>
        <w:lastRenderedPageBreak/>
        <w:drawing>
          <wp:inline distT="0" distB="0" distL="0" distR="0">
            <wp:extent cx="3028950" cy="1314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8950" cy="131445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 xml:space="preserve">Рис. 3.19. Динамика притоков по видам деятельности </w:t>
      </w:r>
      <w:r>
        <w:rPr>
          <w:rFonts w:ascii="Times New Roman CYR" w:hAnsi="Times New Roman CYR" w:cs="Times New Roman CYR"/>
          <w:sz w:val="28"/>
          <w:szCs w:val="28"/>
        </w:rPr>
        <w:t>на 31.12 2007 -31.12.2011 гг.</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Из таблицы 3.10 видим, что большая доля притоков приходиться на притоки от текущей деятельности, и доля эта за анализируемый период выросла с 79 до 99%. Такая структура притоков обусловлена спецификой деятельности компании. Доля притоков по финансовой деятельности в периоде уменьшилась, но в 2007 г. составляла 17%. Доля притоков по инвестиционной деятельности с 2008 по 2011 гг. уменьшалась с 6 до 0,87%.</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Microsoft Sans Serif" w:hAnsi="Microsoft Sans Serif" w:cs="Microsoft Sans Serif"/>
          <w:noProof/>
          <w:sz w:val="17"/>
          <w:szCs w:val="17"/>
        </w:rPr>
        <w:drawing>
          <wp:inline distT="0" distB="0" distL="0" distR="0">
            <wp:extent cx="2787650" cy="1181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7650" cy="118110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 xml:space="preserve">Рис. 3.20. Динамика оттоков по видам деятельности </w:t>
      </w:r>
      <w:r>
        <w:rPr>
          <w:rFonts w:ascii="Times New Roman CYR" w:hAnsi="Times New Roman CYR" w:cs="Times New Roman CYR"/>
          <w:sz w:val="28"/>
          <w:szCs w:val="28"/>
        </w:rPr>
        <w:t>на 31.12 2007 -31.12.2011 гг.</w:t>
      </w:r>
    </w:p>
    <w:p w:rsidR="003A5550" w:rsidRDefault="003A5550">
      <w:pPr>
        <w:widowControl w:val="0"/>
        <w:tabs>
          <w:tab w:val="left" w:pos="3120"/>
        </w:tabs>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tabs>
          <w:tab w:val="left" w:pos="31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Большая доля оттоков денежных средств также приходится на текущую деятельность (от 68 до 99%), что в первую очередь связано с платежами за сырье, материалы, работы и услуги, а также по оплате труда. Далее отметим долю оттоков по финансовой деятельности, которая в 2007 г. составляла 17%, что было связано с большой суммой платежей, связанных с погашением кредитов и займов, затем оттоки ежегодно уменьшались, как и их доля с 0,85 до 0,34% </w:t>
      </w:r>
      <w:r>
        <w:rPr>
          <w:rFonts w:ascii="Times New Roman CYR" w:hAnsi="Times New Roman CYR" w:cs="Times New Roman CYR"/>
          <w:sz w:val="28"/>
          <w:szCs w:val="28"/>
        </w:rPr>
        <w:lastRenderedPageBreak/>
        <w:t>(кроме 2009 г., когда доля составила 5%). В 2007 и 2008 гг. доля оттоков по инвестиционной деятельности составила 14 и 10,5%, что в 2007 г. связано с приобретением дочерних организаций на сумму 3,5 млрд.руб., а в 2008 г. - с приобретением объектов основных средств, доходных вложений в материальные ценности и нематериальных активов на сумму 2,6 млрд.руб. В 2009-2011 гг. оттоки по инвестиционной деятельности были менее 3%.</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3.3 Анализ деловой активности ОАО ВО «Технопромэкспорт»</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деловой активности компании начнем с анализа динамичности ее развития, достижении поставленных целей, в эффективном использовании экономического потенциала, расширении рынков сбыта своей продукции (табл.3.11).</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3.11. Показатели динамичности развития фирмы, в %</w:t>
      </w:r>
    </w:p>
    <w:tbl>
      <w:tblPr>
        <w:tblW w:w="0" w:type="auto"/>
        <w:jc w:val="center"/>
        <w:tblLayout w:type="fixed"/>
        <w:tblLook w:val="0000" w:firstRow="0" w:lastRow="0" w:firstColumn="0" w:lastColumn="0" w:noHBand="0" w:noVBand="0"/>
      </w:tblPr>
      <w:tblGrid>
        <w:gridCol w:w="3470"/>
        <w:gridCol w:w="850"/>
        <w:gridCol w:w="851"/>
        <w:gridCol w:w="850"/>
        <w:gridCol w:w="851"/>
      </w:tblGrid>
      <w:tr w:rsidR="003A5550">
        <w:trPr>
          <w:jc w:val="center"/>
        </w:trPr>
        <w:tc>
          <w:tcPr>
            <w:tcW w:w="347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Показатели</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2008</w:t>
            </w:r>
          </w:p>
        </w:tc>
        <w:tc>
          <w:tcPr>
            <w:tcW w:w="85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2009</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2010</w:t>
            </w:r>
          </w:p>
        </w:tc>
        <w:tc>
          <w:tcPr>
            <w:tcW w:w="85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2011</w:t>
            </w:r>
          </w:p>
        </w:tc>
      </w:tr>
      <w:tr w:rsidR="003A5550">
        <w:trPr>
          <w:jc w:val="center"/>
        </w:trPr>
        <w:tc>
          <w:tcPr>
            <w:tcW w:w="3470"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активов фирмы (Te)</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113,33</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92,33</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118,48</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96,63</w:t>
            </w:r>
          </w:p>
        </w:tc>
      </w:tr>
      <w:tr w:rsidR="003A5550">
        <w:trPr>
          <w:jc w:val="center"/>
        </w:trPr>
        <w:tc>
          <w:tcPr>
            <w:tcW w:w="3470"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объемов реализации (Tr)</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78,88</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152,80</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94,91</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126,48</w:t>
            </w:r>
          </w:p>
        </w:tc>
      </w:tr>
      <w:tr w:rsidR="003A5550">
        <w:trPr>
          <w:jc w:val="center"/>
        </w:trPr>
        <w:tc>
          <w:tcPr>
            <w:tcW w:w="3470"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чистой прибыли (Tp)</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250,25</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79,85</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44,21</w:t>
            </w:r>
          </w:p>
        </w:tc>
      </w:tr>
    </w:tbl>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исследуемом периоде «золотое правило» экономики предприятия не выполняется. Экономический потенциал предприятия в периоде изменялся скачкообразно, так же и темпы роста объем реализации, причем в годы, когда увеличивается экономический потенциал, объемы реализации уменьшаются, то есть, ресурсы ОАО «ВО «Технопромэкспорт» используются не эффективно. Темп изменения чистой прибыли резко подскочил в 2009 г., что скорее связано с убытком в 2008 году, а в 2010-2011 гг. чистая прибыль уменьшалась.</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проанализируем показатели деловой активности (табл. 3.12).</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3.12. Показатели деловой активности ОАО ВО «Технопромэкспорт»</w:t>
      </w:r>
    </w:p>
    <w:tbl>
      <w:tblPr>
        <w:tblW w:w="0" w:type="auto"/>
        <w:jc w:val="center"/>
        <w:tblLayout w:type="fixed"/>
        <w:tblLook w:val="0000" w:firstRow="0" w:lastRow="0" w:firstColumn="0" w:lastColumn="0" w:noHBand="0" w:noVBand="0"/>
      </w:tblPr>
      <w:tblGrid>
        <w:gridCol w:w="4551"/>
        <w:gridCol w:w="822"/>
        <w:gridCol w:w="851"/>
        <w:gridCol w:w="850"/>
        <w:gridCol w:w="851"/>
        <w:gridCol w:w="825"/>
      </w:tblGrid>
      <w:tr w:rsidR="003A5550">
        <w:trPr>
          <w:jc w:val="center"/>
        </w:trPr>
        <w:tc>
          <w:tcPr>
            <w:tcW w:w="4551" w:type="dxa"/>
            <w:tcBorders>
              <w:top w:val="single" w:sz="6" w:space="0" w:color="auto"/>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2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 г.</w:t>
            </w:r>
          </w:p>
        </w:tc>
        <w:tc>
          <w:tcPr>
            <w:tcW w:w="85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85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825"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r>
      <w:tr w:rsidR="003A5550">
        <w:trPr>
          <w:jc w:val="center"/>
        </w:trPr>
        <w:tc>
          <w:tcPr>
            <w:tcW w:w="4551"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активов (ресурсоотдача)</w:t>
            </w:r>
          </w:p>
        </w:tc>
        <w:tc>
          <w:tcPr>
            <w:tcW w:w="822"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0,50</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c>
          <w:tcPr>
            <w:tcW w:w="825"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0,54</w:t>
            </w:r>
          </w:p>
        </w:tc>
      </w:tr>
      <w:tr w:rsidR="003A5550">
        <w:trPr>
          <w:jc w:val="center"/>
        </w:trPr>
        <w:tc>
          <w:tcPr>
            <w:tcW w:w="4551"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Период оборота активов, дни</w:t>
            </w:r>
          </w:p>
        </w:tc>
        <w:tc>
          <w:tcPr>
            <w:tcW w:w="822"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1091</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729</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w:t>
            </w:r>
          </w:p>
        </w:tc>
        <w:tc>
          <w:tcPr>
            <w:tcW w:w="825"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w:t>
            </w:r>
          </w:p>
        </w:tc>
      </w:tr>
      <w:tr w:rsidR="003A5550">
        <w:trPr>
          <w:jc w:val="center"/>
        </w:trPr>
        <w:tc>
          <w:tcPr>
            <w:tcW w:w="4551"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Период оборота дебиторской задолженности, дни</w:t>
            </w:r>
          </w:p>
        </w:tc>
        <w:tc>
          <w:tcPr>
            <w:tcW w:w="822"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w:t>
            </w:r>
          </w:p>
        </w:tc>
        <w:tc>
          <w:tcPr>
            <w:tcW w:w="825"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w:t>
            </w:r>
          </w:p>
        </w:tc>
      </w:tr>
      <w:tr w:rsidR="003A5550">
        <w:trPr>
          <w:jc w:val="center"/>
        </w:trPr>
        <w:tc>
          <w:tcPr>
            <w:tcW w:w="4551"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Период оборота запасов, дни</w:t>
            </w:r>
          </w:p>
        </w:tc>
        <w:tc>
          <w:tcPr>
            <w:tcW w:w="822"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825"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r>
      <w:tr w:rsidR="003A5550">
        <w:trPr>
          <w:jc w:val="center"/>
        </w:trPr>
        <w:tc>
          <w:tcPr>
            <w:tcW w:w="4551"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Период оборота прочих текущих активов, дни</w:t>
            </w:r>
          </w:p>
        </w:tc>
        <w:tc>
          <w:tcPr>
            <w:tcW w:w="822"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825"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r>
      <w:tr w:rsidR="003A5550">
        <w:trPr>
          <w:jc w:val="center"/>
        </w:trPr>
        <w:tc>
          <w:tcPr>
            <w:tcW w:w="4551" w:type="dxa"/>
            <w:tcBorders>
              <w:top w:val="nil"/>
              <w:left w:val="single" w:sz="6" w:space="0" w:color="auto"/>
              <w:bottom w:val="single" w:sz="6" w:space="0" w:color="auto"/>
              <w:right w:val="nil"/>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Период оборота кредиторской задолженности, дни</w:t>
            </w:r>
          </w:p>
        </w:tc>
        <w:tc>
          <w:tcPr>
            <w:tcW w:w="822"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554</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825"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w:t>
            </w:r>
          </w:p>
        </w:tc>
      </w:tr>
    </w:tbl>
    <w:p w:rsidR="003A5550" w:rsidRDefault="003A555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38450" cy="14541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38450" cy="1454150"/>
                    </a:xfrm>
                    <a:prstGeom prst="rect">
                      <a:avLst/>
                    </a:prstGeom>
                    <a:noFill/>
                    <a:ln>
                      <a:noFill/>
                    </a:ln>
                  </pic:spPr>
                </pic:pic>
              </a:graphicData>
            </a:graphic>
          </wp:inline>
        </w:drawing>
      </w:r>
    </w:p>
    <w:p w:rsidR="003A5550" w:rsidRDefault="004A2985">
      <w:pPr>
        <w:widowControl w:val="0"/>
        <w:tabs>
          <w:tab w:val="left" w:pos="3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3.21. Период оборачиваемости активов</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активов в 2007-2011 гг. имеет значение меньше 1, то есть, для одного оборота компании необходимо более одного года, что подтверждает период оборота активов, который составил 403 и 1091 дня. Это связано с неравномерными изменениями выручки и стоимости активов.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 оборота дебиторской задолженности резко вырос в 2008 г. на 284 дня, это связано с увеличением стоимости дебиторской задолженности на 45%. В 2009 г. произошло снижение до 307 дней, тем не менее, стоит отметить, что компании необходимо наладить работу с дебиторами.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 оборота кредиторской задолженности значительно вырос в 2008 г. до 554 дней, это говорит о том, что компании требуется больше года для того, чтобы рассчитаться с поставщиками и подрядчиками, но учитывая специфику проектной работы предприятия, это нормально. В 2009 г. период сократился до 412 дней, а в 2011 г. - до 360 дней.</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Период обращения запасов с каждым годом увеличивается с 116 до 35 дней, то есть компания, сокращает период запуска материалов в строительство, они мало хранятся на складах.</w:t>
      </w:r>
    </w:p>
    <w:p w:rsidR="003A5550" w:rsidRDefault="004A2985">
      <w:pPr>
        <w:widowControl w:val="0"/>
        <w:tabs>
          <w:tab w:val="left" w:pos="31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 оборота прочих текущих пассивов в анализируемом периоде увеличился с 3 до 58 дней, что связано с ежегодными значительными увеличениями их стоимости.</w:t>
      </w:r>
    </w:p>
    <w:p w:rsidR="003A5550" w:rsidRDefault="004A2985">
      <w:pPr>
        <w:widowControl w:val="0"/>
        <w:tabs>
          <w:tab w:val="left" w:pos="31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деловой активности завершим анализом финансового цикла (табл. 3.13).</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3.13. Расчет финансовый цикл ОАО «ВО «Технопромэкспорт», дни</w:t>
      </w:r>
    </w:p>
    <w:tbl>
      <w:tblPr>
        <w:tblW w:w="0" w:type="auto"/>
        <w:jc w:val="center"/>
        <w:tblLayout w:type="fixed"/>
        <w:tblLook w:val="0000" w:firstRow="0" w:lastRow="0" w:firstColumn="0" w:lastColumn="0" w:noHBand="0" w:noVBand="0"/>
      </w:tblPr>
      <w:tblGrid>
        <w:gridCol w:w="1979"/>
        <w:gridCol w:w="850"/>
        <w:gridCol w:w="851"/>
        <w:gridCol w:w="850"/>
        <w:gridCol w:w="851"/>
        <w:gridCol w:w="850"/>
      </w:tblGrid>
      <w:tr w:rsidR="003A5550">
        <w:trPr>
          <w:jc w:val="center"/>
        </w:trPr>
        <w:tc>
          <w:tcPr>
            <w:tcW w:w="197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 г.</w:t>
            </w:r>
          </w:p>
        </w:tc>
        <w:tc>
          <w:tcPr>
            <w:tcW w:w="85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85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r>
      <w:tr w:rsidR="003A5550">
        <w:trPr>
          <w:jc w:val="center"/>
        </w:trPr>
        <w:tc>
          <w:tcPr>
            <w:tcW w:w="197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Операционный цикл</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614</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393</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w:t>
            </w:r>
          </w:p>
        </w:tc>
      </w:tr>
      <w:tr w:rsidR="003A5550">
        <w:trPr>
          <w:jc w:val="center"/>
        </w:trPr>
        <w:tc>
          <w:tcPr>
            <w:tcW w:w="197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Кредитный цикл</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554</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w:t>
            </w:r>
          </w:p>
        </w:tc>
      </w:tr>
      <w:tr w:rsidR="003A5550">
        <w:trPr>
          <w:jc w:val="center"/>
        </w:trPr>
        <w:tc>
          <w:tcPr>
            <w:tcW w:w="197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Финансовый цикл</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bl>
    <w:p w:rsidR="003A5550" w:rsidRDefault="003A5550">
      <w:pPr>
        <w:widowControl w:val="0"/>
        <w:tabs>
          <w:tab w:val="left" w:pos="1920"/>
          <w:tab w:val="center" w:pos="4677"/>
        </w:tabs>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Финансовый цикл имеет положительное значение в 2007, 2008 и 2011 гг., что в 2007-2008 гг. связано с увеличение операционного цикла, в 2011 г. с уменьшением кредитного цикла. В 2009 и 2010 гг. финансовый цикл имеет отрицательные значения, это означает, что компания получает деньги раньше, чем платит сама. Это обусловлено системой кредитования строительства.</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3.4 Анализ финансовых результатов ОАО ВО «Технопромэкспорт»</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финансовых результатов начнем с анализа отчета о прибылях и убытках. В таблице 3.14 представлен горизонтальный анализ формы №2 бухгалтерской отчетности.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t xml:space="preserve">Таблица 3.14 Горизонтальный анализ финансовых результатов </w:t>
      </w:r>
      <w:r>
        <w:rPr>
          <w:rFonts w:ascii="Times New Roman CYR" w:hAnsi="Times New Roman CYR" w:cs="Times New Roman CYR"/>
          <w:noProof/>
          <w:sz w:val="28"/>
          <w:szCs w:val="28"/>
        </w:rPr>
        <w:t>на 31.12.2007-31.12.2011 гг.</w:t>
      </w:r>
    </w:p>
    <w:tbl>
      <w:tblPr>
        <w:tblW w:w="0" w:type="auto"/>
        <w:jc w:val="center"/>
        <w:tblLayout w:type="fixed"/>
        <w:tblLook w:val="0000" w:firstRow="0" w:lastRow="0" w:firstColumn="0" w:lastColumn="0" w:noHBand="0" w:noVBand="0"/>
      </w:tblPr>
      <w:tblGrid>
        <w:gridCol w:w="2978"/>
        <w:gridCol w:w="1250"/>
        <w:gridCol w:w="1212"/>
        <w:gridCol w:w="1250"/>
        <w:gridCol w:w="1212"/>
        <w:gridCol w:w="1250"/>
        <w:gridCol w:w="1212"/>
        <w:gridCol w:w="1250"/>
        <w:gridCol w:w="1212"/>
      </w:tblGrid>
      <w:tr w:rsidR="003A5550">
        <w:trPr>
          <w:jc w:val="center"/>
        </w:trPr>
        <w:tc>
          <w:tcPr>
            <w:tcW w:w="2978"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Показатель</w:t>
            </w:r>
          </w:p>
        </w:tc>
        <w:tc>
          <w:tcPr>
            <w:tcW w:w="2462" w:type="dxa"/>
            <w:gridSpan w:val="2"/>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2462" w:type="dxa"/>
            <w:gridSpan w:val="2"/>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2462" w:type="dxa"/>
            <w:gridSpan w:val="2"/>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2462" w:type="dxa"/>
            <w:gridSpan w:val="2"/>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r>
      <w:tr w:rsidR="003A5550">
        <w:trPr>
          <w:jc w:val="center"/>
        </w:trPr>
        <w:tc>
          <w:tcPr>
            <w:tcW w:w="2978" w:type="dxa"/>
            <w:tcBorders>
              <w:top w:val="single" w:sz="6" w:space="0" w:color="auto"/>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тыс.руб.</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тыс.руб.</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тыс.руб.</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тыс.руб.</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w:t>
            </w:r>
          </w:p>
        </w:tc>
      </w:tr>
      <w:tr w:rsidR="003A5550">
        <w:trPr>
          <w:jc w:val="center"/>
        </w:trPr>
        <w:tc>
          <w:tcPr>
            <w:tcW w:w="2978"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доходов и поступлений (суммируются все статьи доходов, приведенные в форме №2)</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-8718899</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-37,60</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9046309</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62,53</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-3561981</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-15,15</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7243518</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36,31</w:t>
            </w:r>
          </w:p>
        </w:tc>
      </w:tr>
      <w:tr w:rsidR="003A5550">
        <w:trPr>
          <w:jc w:val="center"/>
        </w:trPr>
        <w:tc>
          <w:tcPr>
            <w:tcW w:w="2978"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Общие расходы финансово-хозяйственной деятельности (суммируются все статьи расходов)</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-7198264</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-33,53</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8022974</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56,22</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-3334780</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-14,96</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6688134</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35,28</w:t>
            </w:r>
          </w:p>
        </w:tc>
      </w:tr>
      <w:tr w:rsidR="003A5550">
        <w:trPr>
          <w:jc w:val="center"/>
        </w:trPr>
        <w:tc>
          <w:tcPr>
            <w:tcW w:w="2978"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продаж</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-3476496</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-21,12</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6855479</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52,80</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-1010745</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-5,09</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4986636</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26,48</w:t>
            </w:r>
          </w:p>
        </w:tc>
      </w:tr>
      <w:tr w:rsidR="003A5550">
        <w:trPr>
          <w:jc w:val="center"/>
        </w:trPr>
        <w:tc>
          <w:tcPr>
            <w:tcW w:w="2978"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продукции</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-2361862</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-15,39</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6174419</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47,55</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-1661457</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-8,67</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4489543</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25,66</w:t>
            </w:r>
          </w:p>
        </w:tc>
      </w:tr>
      <w:tr w:rsidR="003A5550">
        <w:trPr>
          <w:jc w:val="center"/>
        </w:trPr>
        <w:tc>
          <w:tcPr>
            <w:tcW w:w="2978"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-1114634</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-100,06</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681060</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-102261,26</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650712</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95,64</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497093</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37,34</w:t>
            </w:r>
          </w:p>
        </w:tc>
      </w:tr>
      <w:tr w:rsidR="003A5550">
        <w:trPr>
          <w:jc w:val="center"/>
        </w:trPr>
        <w:tc>
          <w:tcPr>
            <w:tcW w:w="2978"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-72116</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-12,18</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-181757</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-34,96</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-184165</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-54,46</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63786</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41,41</w:t>
            </w:r>
          </w:p>
        </w:tc>
      </w:tr>
      <w:tr w:rsidR="003A5550">
        <w:trPr>
          <w:jc w:val="center"/>
        </w:trPr>
        <w:tc>
          <w:tcPr>
            <w:tcW w:w="2978"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-42861</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-4,39</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-146250</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-15,66</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984</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w:t>
            </w:r>
          </w:p>
        </w:tc>
        <w:tc>
          <w:tcPr>
            <w:tcW w:w="12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375330</w:t>
            </w:r>
          </w:p>
        </w:tc>
        <w:tc>
          <w:tcPr>
            <w:tcW w:w="121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47,59</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2978"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-999657</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219,77</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1009067</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-69,37</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833893</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-187,20</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57977</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14,93</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2978"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по операциям финансового характера (сумма статей "проценты к получению" и "доходы от участия в других организациях")</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-317104</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-53,66</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75158</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27,44</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-64855</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-18,58</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-369</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2978"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по операциям финансового характера (статья "проценты к уплате")</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-3044</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-86,33</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-482</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2978"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Прочие доходы </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-5242403</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-77,95</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2190830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147,73</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-2483963</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-67,61</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2189609</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184,02</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2978"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Прочие расходы </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-4497524</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-79,63</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1940293</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168,63</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-1678285</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-54,30</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2335582</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165,33</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2978"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до налогообложения</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-2058596</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-170,15</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1335244</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-157,32</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-36640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-7,53</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-88365</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-19,64</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2978"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(расходы) по отложенным налоговым активам (обязательствам)</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95494</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-1956,04</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-123878</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-136,71</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-34007</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102,23</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-62377</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92,72</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2978"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Текущий налог на прибыль</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-431328</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-90,72</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32622</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73,91</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-28304</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-36,87</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-7341</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-15,15</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2978"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налоговые расходы</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-1622</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68,73</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32660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-820,19</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-39276</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-136,96</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5420</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-51,14</w:t>
            </w:r>
          </w:p>
        </w:tc>
      </w:tr>
      <w:tr w:rsidR="003A5550">
        <w:tblPrEx>
          <w:tblBorders>
            <w:top w:val="single" w:sz="4" w:space="0" w:color="auto"/>
            <w:left w:val="single" w:sz="4" w:space="0" w:color="auto"/>
            <w:bottom w:val="single" w:sz="4" w:space="0" w:color="auto"/>
            <w:right w:val="single" w:sz="4" w:space="0" w:color="auto"/>
          </w:tblBorders>
        </w:tblPrEx>
        <w:trPr>
          <w:jc w:val="center"/>
        </w:trPr>
        <w:tc>
          <w:tcPr>
            <w:tcW w:w="2978"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(убыток) отчетного периода</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-1533396</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-210,88</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1211404</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-150,25</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-81619</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1250"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-137981</w:t>
            </w:r>
          </w:p>
        </w:tc>
        <w:tc>
          <w:tcPr>
            <w:tcW w:w="1212"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-42,65</w:t>
            </w:r>
          </w:p>
        </w:tc>
      </w:tr>
    </w:tbl>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Microsoft Sans Serif" w:hAnsi="Microsoft Sans Serif" w:cs="Microsoft Sans Serif"/>
          <w:noProof/>
          <w:sz w:val="17"/>
          <w:szCs w:val="17"/>
        </w:rPr>
        <w:drawing>
          <wp:inline distT="0" distB="0" distL="0" distR="0">
            <wp:extent cx="4273550" cy="23812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3550" cy="238125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Рис.3.22. Динамика изменений доходов и расходов на </w:t>
      </w:r>
      <w:r>
        <w:rPr>
          <w:rFonts w:ascii="Times New Roman CYR" w:hAnsi="Times New Roman CYR" w:cs="Times New Roman CYR"/>
          <w:noProof/>
          <w:sz w:val="28"/>
          <w:szCs w:val="28"/>
        </w:rPr>
        <w:lastRenderedPageBreak/>
        <w:t>31.12.2007-31.12.2011 гг.</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рисунка 3.22 видим, что общая величина доходов увеличивалась в 2009 и 2011 гг. на 62,5 и 36,3%, соответственно, а в 2008 и 2010 гг. они уменьшались на 37,6 и 15,2%, соответственно. Уменьшение в 2008 г. в основном связано со снижением величины прочих доходов на 5,2 млрд.руб., а в 2010 г. - на 2,5 млрд.руб. Увеличение доходов в 2009 и 2011 гг. в основном вызвано приростом выручки от продаж на 6,9 и 4,99 млрд.руб., соответственно.</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общих расходов изменялась аналогично доходам, то есть, в 2008 и 2010 гг. уменьшалась на 33,5 и 15%, соответственно, а в 2009 и 2011 гг. увеличивалась на 56 и 35%, соответственно. Уменьшение расходов в 2008 г. связано со снижением прочих расходов на 79,6% или на 4,5 млрд.руб., при этом себестоимость уменьшилась на 2,4 млрд.руб. В 2010 г. общие расходы уменьшались в части прочих расходов, которые уменьшились на 1,68 млрд.руб., и себестоимости, которая уменьшилась на 1,66 млрд.руб. В 2009 и 2011 гг. расходы увеличивались за счет прироста себестоимости на 6,2 и 4,5 млрд.руб., соответственно.</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проведем вертикальный анализ отчета о прибылях и убытках (табл. 3.15).</w:t>
      </w: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3524250" cy="21907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0" cy="219075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 xml:space="preserve">Рис. 3.23. Динамика величины доходов и расходов на </w:t>
      </w:r>
      <w:r>
        <w:rPr>
          <w:rFonts w:ascii="Times New Roman CYR" w:hAnsi="Times New Roman CYR" w:cs="Times New Roman CYR"/>
          <w:noProof/>
          <w:sz w:val="28"/>
          <w:szCs w:val="28"/>
        </w:rPr>
        <w:lastRenderedPageBreak/>
        <w:t>31.12.2007-31.12.2011 гг.</w:t>
      </w:r>
      <w:r>
        <w:rPr>
          <w:rFonts w:ascii="Times New Roman CYR" w:hAnsi="Times New Roman CYR" w:cs="Times New Roman CYR"/>
          <w:sz w:val="28"/>
          <w:szCs w:val="28"/>
        </w:rPr>
        <w:t xml:space="preserve"> </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расходов в величине общих доходов с 2007 по 2011 гг. составляла в среднем 95%, что связано с равномерным темпами прироста и расходов, и доходов.</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3.15.</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Вертикальный анализ финансовых результатов </w:t>
      </w:r>
      <w:r>
        <w:rPr>
          <w:rFonts w:ascii="Times New Roman CYR" w:hAnsi="Times New Roman CYR" w:cs="Times New Roman CYR"/>
          <w:noProof/>
          <w:sz w:val="28"/>
          <w:szCs w:val="28"/>
        </w:rPr>
        <w:t>на 31.12.2007-31.12.2011 гг.</w:t>
      </w:r>
    </w:p>
    <w:tbl>
      <w:tblPr>
        <w:tblW w:w="0" w:type="auto"/>
        <w:jc w:val="center"/>
        <w:tblLayout w:type="fixed"/>
        <w:tblLook w:val="0000" w:firstRow="0" w:lastRow="0" w:firstColumn="0" w:lastColumn="0" w:noHBand="0" w:noVBand="0"/>
      </w:tblPr>
      <w:tblGrid>
        <w:gridCol w:w="5529"/>
        <w:gridCol w:w="1016"/>
        <w:gridCol w:w="851"/>
        <w:gridCol w:w="1016"/>
        <w:gridCol w:w="850"/>
        <w:gridCol w:w="1016"/>
        <w:gridCol w:w="898"/>
        <w:gridCol w:w="1016"/>
        <w:gridCol w:w="991"/>
        <w:gridCol w:w="1443"/>
        <w:gridCol w:w="966"/>
      </w:tblGrid>
      <w:tr w:rsidR="003A5550">
        <w:trPr>
          <w:jc w:val="center"/>
        </w:trPr>
        <w:tc>
          <w:tcPr>
            <w:tcW w:w="5529"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867" w:type="dxa"/>
            <w:gridSpan w:val="2"/>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 г</w:t>
            </w:r>
          </w:p>
        </w:tc>
        <w:tc>
          <w:tcPr>
            <w:tcW w:w="1866" w:type="dxa"/>
            <w:gridSpan w:val="2"/>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1914" w:type="dxa"/>
            <w:gridSpan w:val="2"/>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2007" w:type="dxa"/>
            <w:gridSpan w:val="2"/>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2409" w:type="dxa"/>
            <w:gridSpan w:val="2"/>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r>
      <w:tr w:rsidR="003A5550">
        <w:trPr>
          <w:jc w:val="center"/>
        </w:trPr>
        <w:tc>
          <w:tcPr>
            <w:tcW w:w="5529" w:type="dxa"/>
            <w:tcBorders>
              <w:top w:val="single" w:sz="6" w:space="0" w:color="auto"/>
              <w:left w:val="single" w:sz="6" w:space="0" w:color="auto"/>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sz w:val="20"/>
                <w:szCs w:val="20"/>
              </w:rPr>
            </w:pP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доходов и поступлений (суммируются все статьи доходов, приведенные в форме №2)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23185668</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14466769</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23513078</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19951097</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27194615</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Общие расходы финансово-хозяйственной деятельности (суммируются все статьи расходов)</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21468530</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92,59</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14270266</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98,64</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22293240</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94,81</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18958460</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95,02</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25646594</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94,31</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продаж</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16460233</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70,99</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12983737</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89,75</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19839216</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84,38</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18828471</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94,37</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23815107</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87,57</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продукции</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15346265</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71,48</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12984403</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90,99</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19158822</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85,94</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17497365</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92,29</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21986908</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85,73</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1113968</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-666</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680394</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1331106</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7,07</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1828199</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7,68</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592069</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519953</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3,64</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338196</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154031</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0,88</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217817</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0,99</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976767</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933906</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6,54</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787656</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788640</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4,16</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1163970</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4,54</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-454868</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-1454525</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-10,05</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-445458</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388435</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446412</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по операциям финансового характера (сумма статей "проценты к получению" и "доходы от участия в других организациях")</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590967</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273863</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349021</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284166</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283797</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по операциям финансового характера (статья "проценты к уплате")</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3526</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482</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Прочие доходы </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6725435</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29,01</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1483032</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10,25</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3673862</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1189899</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5,96</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3379508</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12,43</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Прочие расходы </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5648156</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26,31</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1150632</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3090925</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13,86</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1412640</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7,45</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3748222</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14,61</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до налогообложения</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1209852</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-848744</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-5,87</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486500</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449860</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361495</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по отложенным налоговым обязательствам</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-4882</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90612</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0,63</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-33266</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-67273</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-129650</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-0,51</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Текущий налог на прибыль</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475465</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44137</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0,31</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76759</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48455</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41114</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0,16</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налоговые расходы</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-2360</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-3982</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28678</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-10598</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-5178</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r>
      <w:tr w:rsidR="003A5550">
        <w:trPr>
          <w:jc w:val="center"/>
        </w:trPr>
        <w:tc>
          <w:tcPr>
            <w:tcW w:w="5529"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(убыток) отчетного периода</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727145</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-806251</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-5,57</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405153</w:t>
            </w:r>
          </w:p>
        </w:tc>
        <w:tc>
          <w:tcPr>
            <w:tcW w:w="898"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w:t>
            </w:r>
          </w:p>
        </w:tc>
        <w:tc>
          <w:tcPr>
            <w:tcW w:w="101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323534</w:t>
            </w:r>
          </w:p>
        </w:tc>
        <w:tc>
          <w:tcPr>
            <w:tcW w:w="99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c>
          <w:tcPr>
            <w:tcW w:w="1443"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185553</w:t>
            </w:r>
          </w:p>
        </w:tc>
        <w:tc>
          <w:tcPr>
            <w:tcW w:w="96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0,68</w:t>
            </w:r>
          </w:p>
        </w:tc>
      </w:tr>
    </w:tbl>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4375150" cy="133350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75150" cy="133350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Рис.3.24. Динамика доходных статей на 31.12.2007-31.12.2011 гг.</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 рисунка 3.24 видим, что выручка от продаж занимает значительную долю в величине общих доходов в среднем 85%, при этом наименьшая доля отмечена в 2007 г. 71%, а большая доля отмечена в 2010 г. 94,4%.</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валовой прибыли изменялась скачкообразно, так в 2007 г. она составляла 4,8%, в 2008 г. компания получила убыток, а, начиная с 2009 г., доля валовой прибыли в общих доходах увеличивалась с 3,4 до 7,7%.</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прибыли от продаж в величине общих доходов в 2010-2011 гг. имела незначительную долю в 1,95 и 1,64%, соответственно. А в 2007-2009 гг. компания получила убытки от продаж.</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доходов по операциям финансового характера в анализируемом периоде уменьшалась с 2,55 до 1,04%, при этом их стоимость изменялась неравномерно.</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Доля прочих доходов изменялась скачкообразно, так в 2007-2008 гг. она уменьшалась 29 до 10%, а в 2009 г. выросла на 5,6%, в 2010 г. доля уменьшилась почти в три раза, а в2011 г. опять выросла до 12,4%, это связано с неравномерным изменением величины прочих доходов.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прибыли до налогообложения в 2007 г. составляла 5,2%, а в 2008 г. компания получила убытки, но в 2009-2011 гг. доля прибыли до выплаты налогов составляла в среднем 2%.</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чистой прибыли в 2007 г. составила 3,14%, в 2008 г., как уже было отмечено выше, компания получила убытки, в 2009 г. доля чистой прибыли в величине общих доходов составляла 1,7%, и до 2011 г. уменьшалась (в целом на 1,04%).</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sidR="00DB714A">
        <w:rPr>
          <w:rFonts w:ascii="Microsoft Sans Serif" w:hAnsi="Microsoft Sans Serif" w:cs="Microsoft Sans Serif"/>
          <w:noProof/>
          <w:sz w:val="17"/>
          <w:szCs w:val="17"/>
        </w:rPr>
        <w:lastRenderedPageBreak/>
        <w:drawing>
          <wp:inline distT="0" distB="0" distL="0" distR="0">
            <wp:extent cx="3873500" cy="11620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00" cy="116205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Рис.3.25. Динамика расходных статей на 31.12.2007-31.12.2011 гг.</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Большую долю в расходах компании занимает себестоимость 85-90% (в 2007 г. только 71,5%). Коммерческие расходы занимали небольшую долю, которая за период имела тенденцию к уменьшению с 2,76 до 0,99%. Управленческие расходы в 2007 и 2008 гг. составляли долю в 4,6 и 6,5%, но в 2009 г. уменьшилась до 3,5%, затем в 2010-2011 гг. доля увеличивалась в целом за два года на 1%. Расходы по операциям финансового характера у компании были только в 2007 г., доля их составляла только 0,02%. Доля прочих расходов изменялась скачкообразно, так как также изменялось их абсолютное значение, наибольшая доля отмечена в 2007 г. - 26,3%, а наименьшая в 2010 г. - 7,5%. Расходы по отложенным налоговым обязательствам занимали долю менее 1%. Текущий налога на прибыль в 2007 г. составлял 2,2% от суммы расходов, а в 2008-2011 гг. эта доля была меньше 0,4%. Прочие налоговые активы имели незначительную долю менее 0,2%.</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Результативность и экономическая целесообразность функционирования предприятия оценивается не только абсолютными, но и относительными показателями, то есть показателями рентабельности (табл.3.16).</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3.16. Показатели рентабельности </w:t>
      </w:r>
      <w:r>
        <w:rPr>
          <w:rFonts w:ascii="Times New Roman CYR" w:hAnsi="Times New Roman CYR" w:cs="Times New Roman CYR"/>
          <w:noProof/>
          <w:sz w:val="28"/>
          <w:szCs w:val="28"/>
        </w:rPr>
        <w:t>на 31.12.2007-31.12.2011 гг.</w:t>
      </w:r>
    </w:p>
    <w:tbl>
      <w:tblPr>
        <w:tblW w:w="0" w:type="auto"/>
        <w:jc w:val="center"/>
        <w:tblLayout w:type="fixed"/>
        <w:tblLook w:val="0000" w:firstRow="0" w:lastRow="0" w:firstColumn="0" w:lastColumn="0" w:noHBand="0" w:noVBand="0"/>
      </w:tblPr>
      <w:tblGrid>
        <w:gridCol w:w="4327"/>
        <w:gridCol w:w="850"/>
        <w:gridCol w:w="851"/>
        <w:gridCol w:w="850"/>
        <w:gridCol w:w="851"/>
        <w:gridCol w:w="850"/>
      </w:tblGrid>
      <w:tr w:rsidR="003A5550">
        <w:trPr>
          <w:jc w:val="center"/>
        </w:trPr>
        <w:tc>
          <w:tcPr>
            <w:tcW w:w="432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Показатели рентабельности продаж</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2007 г</w:t>
            </w:r>
          </w:p>
        </w:tc>
        <w:tc>
          <w:tcPr>
            <w:tcW w:w="85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2008 г</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2009 г</w:t>
            </w:r>
          </w:p>
        </w:tc>
        <w:tc>
          <w:tcPr>
            <w:tcW w:w="85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2010 г</w:t>
            </w:r>
          </w:p>
        </w:tc>
        <w:tc>
          <w:tcPr>
            <w:tcW w:w="850"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2011г</w:t>
            </w:r>
          </w:p>
        </w:tc>
      </w:tr>
      <w:tr w:rsidR="003A5550">
        <w:trPr>
          <w:jc w:val="center"/>
        </w:trPr>
        <w:tc>
          <w:tcPr>
            <w:tcW w:w="4327"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(валовая) - ВРП</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6,77</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7,07</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7,68</w:t>
            </w:r>
          </w:p>
        </w:tc>
      </w:tr>
      <w:tr w:rsidR="003A5550">
        <w:trPr>
          <w:jc w:val="center"/>
        </w:trPr>
        <w:tc>
          <w:tcPr>
            <w:tcW w:w="4327"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(операционная) - ОРП</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7,37</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w:t>
            </w:r>
          </w:p>
        </w:tc>
      </w:tr>
      <w:tr w:rsidR="003A5550">
        <w:trPr>
          <w:jc w:val="center"/>
        </w:trPr>
        <w:tc>
          <w:tcPr>
            <w:tcW w:w="4327"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(чистая) - ЧРП</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0,78</w:t>
            </w:r>
          </w:p>
        </w:tc>
      </w:tr>
      <w:tr w:rsidR="003A5550">
        <w:trPr>
          <w:jc w:val="center"/>
        </w:trPr>
        <w:tc>
          <w:tcPr>
            <w:tcW w:w="4327"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Показатели рентабельности капитала</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 xml:space="preserve"> </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 xml:space="preserve"> </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 xml:space="preserve"> </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 xml:space="preserve"> </w:t>
            </w:r>
          </w:p>
        </w:tc>
        <w:tc>
          <w:tcPr>
            <w:tcW w:w="850" w:type="dxa"/>
            <w:tcBorders>
              <w:top w:val="nil"/>
              <w:left w:val="nil"/>
              <w:bottom w:val="single" w:sz="6" w:space="0" w:color="auto"/>
              <w:right w:val="single" w:sz="6" w:space="0" w:color="auto"/>
            </w:tcBorders>
          </w:tcPr>
          <w:p w:rsidR="003A5550" w:rsidRDefault="003A5550">
            <w:pPr>
              <w:widowControl w:val="0"/>
              <w:autoSpaceDE w:val="0"/>
              <w:autoSpaceDN w:val="0"/>
              <w:adjustRightInd w:val="0"/>
              <w:spacing w:after="0" w:line="240" w:lineRule="auto"/>
              <w:rPr>
                <w:rFonts w:ascii="Times New Roman CYR" w:hAnsi="Times New Roman CYR" w:cs="Times New Roman CYR"/>
                <w:b/>
                <w:bCs/>
                <w:sz w:val="20"/>
                <w:szCs w:val="20"/>
              </w:rPr>
            </w:pPr>
          </w:p>
        </w:tc>
      </w:tr>
      <w:tr w:rsidR="003A5550">
        <w:trPr>
          <w:jc w:val="center"/>
        </w:trPr>
        <w:tc>
          <w:tcPr>
            <w:tcW w:w="4327"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генерирования доходов (BEP)</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r>
      <w:tr w:rsidR="003A5550">
        <w:trPr>
          <w:jc w:val="center"/>
        </w:trPr>
        <w:tc>
          <w:tcPr>
            <w:tcW w:w="4327"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Рентабельность активов (ROA)</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0,78</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w:t>
            </w:r>
          </w:p>
        </w:tc>
      </w:tr>
      <w:tr w:rsidR="003A5550">
        <w:trPr>
          <w:jc w:val="center"/>
        </w:trPr>
        <w:tc>
          <w:tcPr>
            <w:tcW w:w="4327"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собственного капитала (ROE)</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8,44</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w:t>
            </w:r>
          </w:p>
        </w:tc>
        <w:tc>
          <w:tcPr>
            <w:tcW w:w="85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w:t>
            </w:r>
          </w:p>
        </w:tc>
        <w:tc>
          <w:tcPr>
            <w:tcW w:w="850"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r>
    </w:tbl>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2008 г. показатели не рассчитываются, так как компания получила убытки, уже после вычета себестоимости. Рентабельность продаж (валовая) выше остальных рассчитанных рентабельностей, что говорит о больших объемах выручки, которая ежегодно увеличивается. Но в связи с более высокими темпами прироста себестоимости, рентабельность продаж (операционная) уменьшалась в целом на 1%. Рентабельность продаж (чистая) в 2007 г. имела высокое значение, но с 2009 г. она уменьшалась с 2,04 до 0,78.</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генерирования доходов в исследуемом периоде в 2007 г. оставил 0,07, а в 2009-2011 гг. только 0,01, что говорит о неэффективном использовании совокупных ресурсов фирмы, так как все меньше рублей операционной прибыли приходится на 1 рубль, вложенный в активы данной компании.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активов в периоде снижается в целом на 3,5, что объясняется ежегодным увеличением стоимости активов, темпы прироста которых выше темпов прироста чистой прибыли.</w:t>
      </w:r>
    </w:p>
    <w:p w:rsidR="003A5550" w:rsidRDefault="004A2985">
      <w:pPr>
        <w:widowControl w:val="0"/>
        <w:tabs>
          <w:tab w:val="left" w:pos="31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собственного капитала имела самое высокое значение в 2007 г., а с 2009 по 2011 гг. уменьшалась с 2,5 до 1,1, то есть, отдача на сделанные акционерами инвестиции уменьшается, следовательно, прибыльность компании снижается.</w:t>
      </w:r>
    </w:p>
    <w:p w:rsidR="003A5550" w:rsidRDefault="004A2985">
      <w:pPr>
        <w:widowControl w:val="0"/>
        <w:tabs>
          <w:tab w:val="left" w:pos="31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проведем интегральный анализ по схеме фирмы «</w:t>
      </w:r>
      <w:r>
        <w:rPr>
          <w:rFonts w:ascii="Times New Roman CYR" w:hAnsi="Times New Roman CYR" w:cs="Times New Roman CYR"/>
          <w:sz w:val="28"/>
          <w:szCs w:val="28"/>
          <w:lang w:val="en-US"/>
        </w:rPr>
        <w:t>Du</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Pont</w:t>
      </w:r>
      <w:r>
        <w:rPr>
          <w:rFonts w:ascii="Times New Roman CYR" w:hAnsi="Times New Roman CYR" w:cs="Times New Roman CYR"/>
          <w:sz w:val="28"/>
          <w:szCs w:val="28"/>
        </w:rPr>
        <w:t>» (табл.3.17).</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3.17. Показатели рентабельности по методу «</w:t>
      </w:r>
      <w:r>
        <w:rPr>
          <w:rFonts w:ascii="Times New Roman CYR" w:hAnsi="Times New Roman CYR" w:cs="Times New Roman CYR"/>
          <w:sz w:val="28"/>
          <w:szCs w:val="28"/>
          <w:lang w:val="en-US"/>
        </w:rPr>
        <w:t>Du</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Pont</w:t>
      </w:r>
      <w:r>
        <w:rPr>
          <w:rFonts w:ascii="Times New Roman CYR" w:hAnsi="Times New Roman CYR" w:cs="Times New Roman CYR"/>
          <w:sz w:val="28"/>
          <w:szCs w:val="28"/>
        </w:rPr>
        <w:t>»</w:t>
      </w:r>
    </w:p>
    <w:tbl>
      <w:tblPr>
        <w:tblW w:w="0" w:type="auto"/>
        <w:jc w:val="center"/>
        <w:tblLayout w:type="fixed"/>
        <w:tblLook w:val="0000" w:firstRow="0" w:lastRow="0" w:firstColumn="0" w:lastColumn="0" w:noHBand="0" w:noVBand="0"/>
      </w:tblPr>
      <w:tblGrid>
        <w:gridCol w:w="817"/>
        <w:gridCol w:w="1276"/>
        <w:gridCol w:w="992"/>
        <w:gridCol w:w="1559"/>
        <w:gridCol w:w="1701"/>
        <w:gridCol w:w="1701"/>
      </w:tblGrid>
      <w:tr w:rsidR="003A5550">
        <w:trPr>
          <w:jc w:val="center"/>
        </w:trPr>
        <w:tc>
          <w:tcPr>
            <w:tcW w:w="817" w:type="dxa"/>
            <w:tcBorders>
              <w:top w:val="single" w:sz="6" w:space="0" w:color="auto"/>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276"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992"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Ресурсоотдача </w:t>
            </w:r>
          </w:p>
        </w:tc>
        <w:tc>
          <w:tcPr>
            <w:tcW w:w="1559"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 xml:space="preserve">Рентабельность активов </w:t>
            </w:r>
          </w:p>
        </w:tc>
        <w:tc>
          <w:tcPr>
            <w:tcW w:w="170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финансовой зависимости</w:t>
            </w:r>
          </w:p>
        </w:tc>
        <w:tc>
          <w:tcPr>
            <w:tcW w:w="1701" w:type="dxa"/>
            <w:tcBorders>
              <w:top w:val="single" w:sz="6" w:space="0" w:color="auto"/>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Рентабельности собственного капитала, %</w:t>
            </w:r>
          </w:p>
        </w:tc>
      </w:tr>
      <w:tr w:rsidR="003A5550">
        <w:trPr>
          <w:jc w:val="center"/>
        </w:trPr>
        <w:tc>
          <w:tcPr>
            <w:tcW w:w="817"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 г.</w:t>
            </w:r>
          </w:p>
        </w:tc>
        <w:tc>
          <w:tcPr>
            <w:tcW w:w="127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8,44</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c>
          <w:tcPr>
            <w:tcW w:w="1559"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w:t>
            </w:r>
          </w:p>
        </w:tc>
        <w:tc>
          <w:tcPr>
            <w:tcW w:w="170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170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16,10</w:t>
            </w:r>
          </w:p>
        </w:tc>
      </w:tr>
      <w:tr w:rsidR="003A5550">
        <w:trPr>
          <w:jc w:val="center"/>
        </w:trPr>
        <w:tc>
          <w:tcPr>
            <w:tcW w:w="817"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127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-4,84</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0,31</w:t>
            </w:r>
          </w:p>
        </w:tc>
        <w:tc>
          <w:tcPr>
            <w:tcW w:w="1559"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w:t>
            </w:r>
          </w:p>
        </w:tc>
        <w:tc>
          <w:tcPr>
            <w:tcW w:w="170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w:t>
            </w:r>
          </w:p>
        </w:tc>
        <w:tc>
          <w:tcPr>
            <w:tcW w:w="170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A5550">
        <w:trPr>
          <w:jc w:val="center"/>
        </w:trPr>
        <w:tc>
          <w:tcPr>
            <w:tcW w:w="817"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2009 г.</w:t>
            </w:r>
          </w:p>
        </w:tc>
        <w:tc>
          <w:tcPr>
            <w:tcW w:w="127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0,52</w:t>
            </w:r>
          </w:p>
        </w:tc>
        <w:tc>
          <w:tcPr>
            <w:tcW w:w="1559"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170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w:t>
            </w:r>
          </w:p>
        </w:tc>
        <w:tc>
          <w:tcPr>
            <w:tcW w:w="170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w:t>
            </w:r>
          </w:p>
        </w:tc>
      </w:tr>
      <w:tr w:rsidR="003A5550">
        <w:trPr>
          <w:jc w:val="center"/>
        </w:trPr>
        <w:tc>
          <w:tcPr>
            <w:tcW w:w="817"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127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w:t>
            </w:r>
          </w:p>
        </w:tc>
        <w:tc>
          <w:tcPr>
            <w:tcW w:w="1559"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0,72</w:t>
            </w:r>
          </w:p>
        </w:tc>
        <w:tc>
          <w:tcPr>
            <w:tcW w:w="170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w:t>
            </w:r>
          </w:p>
        </w:tc>
        <w:tc>
          <w:tcPr>
            <w:tcW w:w="170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r>
      <w:tr w:rsidR="003A5550">
        <w:trPr>
          <w:jc w:val="center"/>
        </w:trPr>
        <w:tc>
          <w:tcPr>
            <w:tcW w:w="817" w:type="dxa"/>
            <w:tcBorders>
              <w:top w:val="nil"/>
              <w:left w:val="single" w:sz="6" w:space="0" w:color="auto"/>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1276"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92"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0,55</w:t>
            </w:r>
          </w:p>
        </w:tc>
        <w:tc>
          <w:tcPr>
            <w:tcW w:w="1559"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170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w:t>
            </w:r>
          </w:p>
        </w:tc>
        <w:tc>
          <w:tcPr>
            <w:tcW w:w="1701" w:type="dxa"/>
            <w:tcBorders>
              <w:top w:val="nil"/>
              <w:left w:val="nil"/>
              <w:bottom w:val="single" w:sz="6" w:space="0" w:color="auto"/>
              <w:right w:val="single" w:sz="6" w:space="0" w:color="auto"/>
            </w:tcBorders>
          </w:tcPr>
          <w:p w:rsidR="003A5550" w:rsidRDefault="004A298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r>
    </w:tbl>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методу «</w:t>
      </w:r>
      <w:r>
        <w:rPr>
          <w:rFonts w:ascii="Times New Roman CYR" w:hAnsi="Times New Roman CYR" w:cs="Times New Roman CYR"/>
          <w:sz w:val="28"/>
          <w:szCs w:val="28"/>
          <w:lang w:val="en-US"/>
        </w:rPr>
        <w:t>Du</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Pont</w:t>
      </w:r>
      <w:r>
        <w:rPr>
          <w:rFonts w:ascii="Times New Roman CYR" w:hAnsi="Times New Roman CYR" w:cs="Times New Roman CYR"/>
          <w:sz w:val="28"/>
          <w:szCs w:val="28"/>
        </w:rPr>
        <w:t>» рентабельность собственного капитала также не рассчитывается в 2008 г., с 2009 г. уменьшается с 2,44 до 1,55 руб. Причем из данных таблицы видно, что уменьшение происходило в основном за счет уменьшения рентабельности продаж.</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3.5 Разработка предложений по повышению эффективности финансово-хозяйственной деятельности ОАО ВО «Технопромэкспорт»</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видами деятельности ОАО «Внешнеэкономическое объединение «Технопромэкспорт» в 2011 году являлись:</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поставка оборудования в рамках осуществления строительства энергетических объектов как в России, так и за рубежом, поставка запасных частей (торговая деятельность);</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проектных, строительно-монтажных, пуско-наладочных работ на объектах строительства, комплекса работ по ремонту и реконструкции построенных объектов (строительная деятельность);</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электрической и тепловой энергии.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отмечалось выше, выручка от реализации товаров, работ, услуг составила в целом по обществу 23 815 107 тыс. руб., в том числе по видам деятельности: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торговым операциям (поставка оборудования) - 16 133 670 тыс. руб.</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строительная деятельность (проектные, строительно-ионтажные, пуско-наладочные работы) - 6 385 351 тыс. руб.</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электрической и тепловой энергии - 1 296 086 тыс. руб.</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сравнению с 2010 годом в целом выручка от реализации увеличилась на 26,5%, в том числе по торговым операциям - на 56,1%, при этом себестоимость этих услуг увеличилась на 51,6%. Вместе с тем выручка по услугам, связанным со строительством снизилась на 1,7%, на фоне увеличения себестоимости на 9,8%. Выручка от реализации товаров собственного производства (электрической и тепловой энергии) также снизилась на 35,1%, при этом себестоимость снизилась только на 16,9%.</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данном этапе развития компании необходимо пересмотреть портфель оказываемых услуг. Компании необходимо выбрать услуги, которые можно оставить, например, подачу электрической и тепловой энергии, так как здесь играет фактор социальной ответственности компании, и искать новые рынки и новые услуги на рынке пребывания.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Очевидно, что компания активнее занимается торговой деятельностью, при этом коэффициент текущей ликвидности, помимо того что он ниже нормы, снизился, что означает задержки своевременного погашения обязательств предприятия, что в свою очередь связано с большими суммами дебиторской задолженности (на конец 2011 года ее доля в текущих пассивах составила 58,5%).</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попарное сравнение коэффициентов оборотов дебиторской и кредиторской задолженностей и авансов поставщикам и покупателей за 2011 г. (рис.3.27).</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DB714A">
      <w:pPr>
        <w:widowControl w:val="0"/>
        <w:tabs>
          <w:tab w:val="left" w:pos="49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56100" cy="6096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56100" cy="60960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Рис.3.27. Попарное сравнение количества оборотов дебиторской и кредиторской задолженностей и авансов поставщикам и покупателей</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рисунка 3.27 видим, что денежных средств, поступающих от </w:t>
      </w:r>
      <w:r>
        <w:rPr>
          <w:rFonts w:ascii="Times New Roman CYR" w:hAnsi="Times New Roman CYR" w:cs="Times New Roman CYR"/>
          <w:sz w:val="28"/>
          <w:szCs w:val="28"/>
        </w:rPr>
        <w:lastRenderedPageBreak/>
        <w:t>покупателей, не достаточно для того, чтобы рассчитаться с поставщиками, то есть компания не пользуется возможными условно-бесплатными источниками, и вынуждена использовать более дорогие источники для финансирования текущей деятельности.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можно сделать вывод, что активы компании имеют неудовлетворительную структуру. Как следствие, кредитоспособность компании низкая.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из динамики расходов (3.18) видим, что большая часть расходов приходится на материальные затраты, затем идут прочие затраты и затраты на оплату труда, причем доля последних в период с 2009 по 2011 гг. увеличилась с 3,6 до 4,9%.</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3.18 Динамика расходов по обычным видам деятельности</w:t>
      </w: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51450" cy="1327150"/>
            <wp:effectExtent l="0" t="0" r="635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1450" cy="1327150"/>
                    </a:xfrm>
                    <a:prstGeom prst="rect">
                      <a:avLst/>
                    </a:prstGeom>
                    <a:noFill/>
                    <a:ln>
                      <a:noFill/>
                    </a:ln>
                  </pic:spPr>
                </pic:pic>
              </a:graphicData>
            </a:graphic>
          </wp:inline>
        </w:drawing>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прочих затрат 217 816 тыс. руб. составляют транспортно-заготовительные расходы (10,6% от прочих расходов); 1 536 453 тыс. руб. - расходы, связанные с исполнением контрактов на условиях генподряда и техсодействия, а также связанные с производством электрической и тепловой энергии (74,8% от прочих расходов); 299 284 тыс. руб. - управленческие расходы (14,6% от прочих расходов).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персонала по категориям представлено на рис.3.28.</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DB71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429000" cy="14668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0" cy="1466850"/>
                    </a:xfrm>
                    <a:prstGeom prst="rect">
                      <a:avLst/>
                    </a:prstGeom>
                    <a:noFill/>
                    <a:ln>
                      <a:noFill/>
                    </a:ln>
                  </pic:spPr>
                </pic:pic>
              </a:graphicData>
            </a:graphic>
          </wp:inline>
        </w:drawing>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Рис.3.28. Структура персонала по должностным категориям работников (на 31.12.11г.)</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Из рисунка видим, что руководители и специалисты суммарно составляют долю в 75%, что в случае с производственной компании ОАО «Внешнеэкономическое объединение «Технопромэкспорт» говорит о неудовлетворительной структуре персонала и раздутом управленческом аппарате.</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рекомендаций компании можно предложить следующее:</w:t>
      </w:r>
    </w:p>
    <w:p w:rsidR="003A5550" w:rsidRDefault="004A2985">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Постепенно менять структуру имущества организации. Настоящая структура имущества организации является неудовлетворительной, особенно структура текущих активов. Значительная доля в их составе труднореализуемых активов (дебиторская задолженность) может привести к неспособности организации выполнять свои обязательства. При этом структура пассивов не обеспечивает финансовой устойчивости.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Ускорить оборачиваемость средств организации путем уменьшения накоплений запасов и более эффективной работы с дебиторами.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Осуществление гибкой ценовой политики и осуществление оперативного контроля за состоянием дебиторской и кредиторской задолженности.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Постепенно менять структура персонала, так как затраты на оплату труда растут с ростом аппарата управления.</w:t>
      </w: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lang w:val="x-none"/>
        </w:rPr>
        <w:br w:type="page"/>
      </w:r>
      <w:r>
        <w:rPr>
          <w:rFonts w:ascii="Times New Roman CYR" w:hAnsi="Times New Roman CYR" w:cs="Times New Roman CYR"/>
          <w:b/>
          <w:bCs/>
          <w:sz w:val="28"/>
          <w:szCs w:val="28"/>
        </w:rPr>
        <w:lastRenderedPageBreak/>
        <w:t>Заключение</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был проведен анализ финансового состояния и финансовых результатов ОАО «ВО «Технопромэкспорт». На основе имеющихся данных за 2007-2011 гг., был произведен анализ динамики и структуры баланса, проанализирована ликвидность, финансовая устойчивость компании, чистые активы и показатели самофинансирования, произведен анализ деловой активности компании.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анализируемом периоде валюта баланса изменялась скачкообразно, но можно также отметить, что в целом за 2007-2011 гг. валюта баланса увеличилась с 36 до 44 млрд.руб.</w:t>
      </w:r>
      <w:r>
        <w:rPr>
          <w:rFonts w:ascii="Times New Roman CYR" w:hAnsi="Times New Roman CYR" w:cs="Times New Roman CYR"/>
          <w:sz w:val="28"/>
          <w:szCs w:val="28"/>
          <w:lang w:val="uk-UA"/>
        </w:rPr>
        <w:t xml:space="preserve"> </w:t>
      </w:r>
      <w:r>
        <w:rPr>
          <w:rFonts w:ascii="Times New Roman CYR" w:hAnsi="Times New Roman CYR" w:cs="Times New Roman CYR"/>
          <w:noProof/>
          <w:sz w:val="28"/>
          <w:szCs w:val="28"/>
          <w:lang w:val="uk-UA"/>
        </w:rPr>
        <w:t xml:space="preserve">Чистый оборотный капитал имеет положитеьное значение на протяжении всего анализируемого периода. Причем с 2007 по 2009 гг. наблюдается тенденция снижения величины ЧОК, так как в 2007-2008 гг. стоимость текущих пассивов прирастает, а в 2009 году снизилась стоимость текущих активов. В 2010-2011 гг. чистый оборотный капитал имеет тенденцию к увеличению, что связано с уменьшением величины текущих пассивов. В целом можем отметить, что у компании достаточно текущих активов для покрытия своих краткосрочных обязательств. </w:t>
      </w:r>
      <w:r>
        <w:rPr>
          <w:rFonts w:ascii="Times New Roman CYR" w:hAnsi="Times New Roman CYR" w:cs="Times New Roman CYR"/>
          <w:sz w:val="28"/>
          <w:szCs w:val="28"/>
        </w:rPr>
        <w:t>Величина собственных оборотных средств в анализируемом периоде имеет четкую тенденцию к уменьшению, и только в 2011 году наблюдается ее прирост. В 2007-2010 гг. уменьшение СОС объясняется стабильным ежегодным приростом стоимости постоянных активов, а в 2011 г. стоимость постоянных активов уменьшилась, при этом величина собственного капитала на протяжении всего периода исследования колебалась у отметки в 16,7 млрд. руб.</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Величина всего активов за исследуемый период изменялась аналогично изменениям текущих активов. Так в 2008 и 2010 гг. текущие активы увеличились на 9,6 и 18,9%, соответственно, в основном за счет увеличения дебиторской </w:t>
      </w:r>
      <w:r>
        <w:rPr>
          <w:rFonts w:ascii="Times New Roman CYR" w:hAnsi="Times New Roman CYR" w:cs="Times New Roman CYR"/>
          <w:sz w:val="28"/>
          <w:szCs w:val="28"/>
        </w:rPr>
        <w:lastRenderedPageBreak/>
        <w:t>задолженности на 82 и 28% или на 8,2 и 4,2 млрд. руб., соответственно. В 2009 и 2011 гг. текущие активы уменьшались на 13 и 2%, что связано с уменьшением стоимости запасов (на 4,5 и 1 млрд. руб., соответственно) и дебиторской задолженности (на 2,8 и 2,1 млрд. руб., соответственно). Постоянные активы в 2008-2010 гг. увеличивали свою стоимость на 24, 6 и 18%, соответственно. Причем в 2008 и 2010 гг. увеличение в основном вязано с приростом стоимости долгосрочных финансовых вложений на 1,9 и 1,5 млрд.руб., соответственно, а в 2009 г. - с приростом дебиторской задолженности на 1,5 млрд.руб. Уменьшение постоянных активов в 2011 г. на 5,6% в основном связано с сокращением величины дебиторской задолженности на 505 млн.руб. и стоимости основных средств на 310 млн. руб.</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Заемный капитал в исследуемом периоде изменялся неравномерно и определял изменение пассивов. В 2008 и 2010 гг. заемный капитал увеличивался на 31,4 и 31,2%, соответственно, так в 2008 г. за счет прироста текущих пассивов, а именно кредиторской задолженности на 5,95 млрд.руб., а в 2010 г. за счет прироста долгосрочных обязательств на 3,6 млрд.руб. и кредиторской задолженности на 3,1 млрд.руб. В 2009-2011 гг. заемный капитал уменьшался на 14 и 5,5%, соответственно, в частности из-за снижения стоимости текущих пассивов, а именно кредиторской задолженности на 16,5 и 8%, соответственно. При этом собственный капитал изменялся только за счет изменений накопленного капитала, и в 2009-2011 гг. ежегодно увеличивался, хотя темпы прироста снижались с 2,7% в 2009 г. до 0,23% в 2011 г., только в 2007 г. собственный капитал уменьшился на 6,7% (в частности из-за уменьшения нераспределенной прибыли почти в 5 раз).</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структуры активов баланса показывает, что большую долю занимают текущие активы, при этом доля их уменьшается с 73,9 до 68,2%, при этом их стоимость, как отмечалось выше, изменялась скачкообразно.</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Большую долю в постоянных активах занимают долгосрочные финансовые вложения от 36 до 54%, кроме 2007 и 2009 гг., когда большую долю составляли основные средства 47,5 и 44%, соответственно. На протяжении исследуемого периода доля дебиторской задолженности растет с 3,6 до 14,8%, что связано с ежегодным приростом ее абсолютного значения. Доля прочих постоянных активов увеличивалась в 2010 и 2011 гг. до 4,9 и 4,6%, а доля нематериальных активов меньше 0,01% на протяжении всего анализируемого периода.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Большую долю в пассивах занимает заемный капитал, в целом за период она растет.</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2007-2008 гг. коэффициент текущей ликвидности снизился с 1,41 до 1,2, начиная с 2009 г. он увеличивался и в 2011 г. составил 1,3%, но все эти значения ниже нормы. Это значит, что возникает задержка своевременного погашения обязательств предприятия.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протяжении всего исследуемого периода чистые активы компании превышали уставный капитал, это объясняется высокой долей внеоборотных и оборотных активов, маленькой стоимость долгосрочных обязательств. Это говорит о том, что ОАО «ВО «Технопромэкспорт» имеет имущественную базу, которая при наступлении неблагоприятных обстоятельств может быть использована для исполнения ее обязательств.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исследуемом периоде «золотое правило» экономики предприятия не выполняется.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активов в 2007-2011 гг. имеет значение меньше 1, то есть, для одного оборота компании необходимо более одного года, что подтверждает период оборота активов, который составил 403 и 1091 дня. Это связано с неравномерными изменениями выручки и стоимости активов.</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Финансовый цикл имеет положительное значение в 2007, 2008 и 2011 гг., что в 2007-2008 гг. связано с увеличение операционного цикла, в 2011 г. с </w:t>
      </w:r>
      <w:r>
        <w:rPr>
          <w:rFonts w:ascii="Times New Roman CYR" w:hAnsi="Times New Roman CYR" w:cs="Times New Roman CYR"/>
          <w:sz w:val="28"/>
          <w:szCs w:val="28"/>
        </w:rPr>
        <w:lastRenderedPageBreak/>
        <w:t>уменьшением кредитного цикла. В 2009 и 2010 гг. финансовый цикл имеет отрицательные значения, это означает, что компания получает деньги раньше, чем платит сама. Это обусловлено системой кредитования строительства.</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величина доходов увеличивалась в 2009 и 2011 гг. на 62,5 и 36,3%, соответственно, а в 2008 и 2010 гг. они уменьшались на 37,6 и 15,2%, соответственно. Уменьшение в 2008 г. в основном связано со снижением величины прочих доходов на 5,2 млрд.руб., а в 2010 г. - на 2,5 млрд.руб. Увеличение доходов в 2009 и 2011 гг. в основном вызвано приростом выручки от продаж на 6,9 и 4,99 млрд.руб., соответственно.</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общих расходов изменялась аналогично доходам, то есть, в 2008 и 2010 гг. уменьшалась на 33,5 и 15%, соответственно, а в 2009 и 2011 гг. увеличивалась на 56 и 35%, соответственно. Уменьшение расходов в 2008 г. связано со снижением прочих расходов на 79,6% или на 4,5 млрд.руб., при этом себестоимость уменьшилась на 2,4 млрд.руб. В 2010 г. общие расходы уменьшались в части прочих расходов, которые уменьшились на 1,68 млрд.руб., и себестоимости, которая уменьшилась на 1,66 млрд.руб. В 2009 и 2011 гг. расходы увеличивались за счет прироста себестоимости на 6,2 и 4,5 млрд.руб., соответственно.</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Доля расходов в величине общих доходов с 2007 по 2011 гг. составляла в среднем 95%, что связано с равномерным темпами прироста и расходов, и доходов. </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активов в периоде снижается в целом на 3,5, что объясняется ежегодным увеличением стоимости активов, темпы прироста которых выше темпов прироста чистой прибыли.</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собственного капитала имела самое высокое значение в 2007 г., а с 2009 по 2011 гг. уменьшалась с 2,5 до 1,1, то есть, отдача на сделанные акционерами инвестиции уменьшается, следовательно, прибыльность компании </w:t>
      </w:r>
      <w:r>
        <w:rPr>
          <w:rFonts w:ascii="Times New Roman CYR" w:hAnsi="Times New Roman CYR" w:cs="Times New Roman CYR"/>
          <w:sz w:val="28"/>
          <w:szCs w:val="28"/>
        </w:rPr>
        <w:lastRenderedPageBreak/>
        <w:t>снижается.</w:t>
      </w:r>
    </w:p>
    <w:p w:rsidR="003A5550" w:rsidRDefault="004A298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рекомендациями компании были постепенное изменение структуры имущества и, как следствие, источников их финансирования, ведение гибкой ценовой политики, ускорение оборачиваемости активов, а также поиск новых услуг и новых рынков.</w:t>
      </w:r>
    </w:p>
    <w:p w:rsidR="003A5550" w:rsidRDefault="004A298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Список использованной литературы</w:t>
      </w:r>
    </w:p>
    <w:p w:rsidR="003A5550" w:rsidRDefault="003A555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3A5550" w:rsidRDefault="004A2985">
      <w:pPr>
        <w:widowControl w:val="0"/>
        <w:tabs>
          <w:tab w:val="left" w:pos="0"/>
          <w:tab w:val="left" w:pos="180"/>
          <w:tab w:val="left" w:pos="360"/>
          <w:tab w:val="left" w:pos="72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Ковалев В.В. Финансовый менеджмент: теория и практика. - 2-е издание, - М.: изд-во Проспект, 2008</w:t>
      </w:r>
    </w:p>
    <w:p w:rsidR="003A5550" w:rsidRDefault="004A298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Ковалев В.В., Ковалев Вит.В Финансовая отчетность: анализ финансовой отчетности. - 2-е издание, М.: изд-во Проспект, 2008</w:t>
      </w:r>
    </w:p>
    <w:p w:rsidR="003A5550" w:rsidRDefault="004A298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Конспект лекций по дисциплине финансовый менеджмент, 2010 г.</w:t>
      </w:r>
    </w:p>
    <w:p w:rsidR="003A5550" w:rsidRDefault="004A298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Официальный сайт ОАО «ВО «Технопромэкспорт»</w:t>
      </w:r>
    </w:p>
    <w:p w:rsidR="00CB336E" w:rsidRPr="00655958" w:rsidRDefault="004A2985" w:rsidP="00CB336E">
      <w:pPr>
        <w:jc w:val="center"/>
        <w:rPr>
          <w:rFonts w:ascii="Calibri" w:eastAsia="Calibri" w:hAnsi="Calibri" w:cs="Times New Roman"/>
          <w:lang w:eastAsia="en-US"/>
        </w:rPr>
      </w:pPr>
      <w:r>
        <w:rPr>
          <w:rFonts w:ascii="Times New Roman CYR" w:hAnsi="Times New Roman CYR" w:cs="Times New Roman CYR"/>
          <w:sz w:val="28"/>
          <w:szCs w:val="28"/>
        </w:rPr>
        <w:t>.</w:t>
      </w:r>
      <w:r>
        <w:rPr>
          <w:rFonts w:ascii="Times New Roman CYR" w:hAnsi="Times New Roman CYR" w:cs="Times New Roman CYR"/>
          <w:sz w:val="28"/>
          <w:szCs w:val="28"/>
        </w:rPr>
        <w:tab/>
        <w:t>Годовая отчетность за 2007-2011 гг.</w:t>
      </w:r>
      <w:r w:rsidR="00CB336E" w:rsidRPr="00CB336E">
        <w:rPr>
          <w:rFonts w:ascii="Calibri" w:eastAsia="Calibri" w:hAnsi="Calibri" w:cs="Times New Roman"/>
          <w:lang w:eastAsia="en-US"/>
        </w:rPr>
        <w:t xml:space="preserve"> </w:t>
      </w:r>
    </w:p>
    <w:tbl>
      <w:tblPr>
        <w:tblStyle w:val="2"/>
        <w:tblW w:w="0" w:type="auto"/>
        <w:tblInd w:w="0" w:type="dxa"/>
        <w:tblLook w:val="04A0" w:firstRow="1" w:lastRow="0" w:firstColumn="1" w:lastColumn="0" w:noHBand="0" w:noVBand="1"/>
      </w:tblPr>
      <w:tblGrid>
        <w:gridCol w:w="3227"/>
        <w:gridCol w:w="6678"/>
      </w:tblGrid>
      <w:tr w:rsidR="00CB336E" w:rsidRPr="00E210ED" w:rsidTr="00BF6D22">
        <w:tc>
          <w:tcPr>
            <w:tcW w:w="3227" w:type="dxa"/>
            <w:tcBorders>
              <w:top w:val="single" w:sz="4" w:space="0" w:color="auto"/>
              <w:left w:val="single" w:sz="4" w:space="0" w:color="auto"/>
              <w:bottom w:val="single" w:sz="4" w:space="0" w:color="auto"/>
              <w:right w:val="single" w:sz="4" w:space="0" w:color="auto"/>
            </w:tcBorders>
          </w:tcPr>
          <w:p w:rsidR="00CB336E" w:rsidRPr="00E210ED" w:rsidRDefault="00CB336E" w:rsidP="00BF6D22">
            <w:pPr>
              <w:spacing w:line="480" w:lineRule="auto"/>
              <w:jc w:val="center"/>
              <w:rPr>
                <w:rFonts w:ascii="Times New Roman CYR" w:eastAsia="Calibri" w:hAnsi="Times New Roman CYR" w:cs="Times New Roman CYR"/>
                <w:sz w:val="24"/>
                <w:szCs w:val="24"/>
              </w:rPr>
            </w:pPr>
          </w:p>
          <w:p w:rsidR="00CB336E" w:rsidRPr="00E210ED" w:rsidRDefault="00CB336E" w:rsidP="00BF6D22">
            <w:pPr>
              <w:spacing w:line="480" w:lineRule="auto"/>
              <w:jc w:val="center"/>
              <w:rPr>
                <w:rFonts w:eastAsia="Calibri"/>
                <w:lang w:val="en-US"/>
              </w:rPr>
            </w:pPr>
            <w:hyperlink r:id="rId57" w:history="1">
              <w:r w:rsidRPr="00E210ED">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B336E" w:rsidRPr="00E210ED" w:rsidRDefault="00CB336E" w:rsidP="00BF6D22">
            <w:pPr>
              <w:spacing w:line="480" w:lineRule="auto"/>
              <w:jc w:val="center"/>
              <w:rPr>
                <w:rFonts w:eastAsia="Calibri"/>
                <w:lang w:val="en-US"/>
              </w:rPr>
            </w:pPr>
            <w:r w:rsidRPr="00E210ED">
              <w:rPr>
                <w:rFonts w:eastAsia="Calibri"/>
                <w:noProof/>
              </w:rPr>
              <w:drawing>
                <wp:inline distT="0" distB="0" distL="0" distR="0" wp14:anchorId="3230C952" wp14:editId="14A82E7A">
                  <wp:extent cx="3784600" cy="1257300"/>
                  <wp:effectExtent l="0" t="0" r="6350"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B336E" w:rsidRPr="00E210ED" w:rsidRDefault="00CB336E" w:rsidP="00CB336E">
      <w:pPr>
        <w:spacing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CB336E" w:rsidRPr="00E210ED" w:rsidTr="00BF6D22">
        <w:tc>
          <w:tcPr>
            <w:tcW w:w="4952" w:type="dxa"/>
            <w:tcBorders>
              <w:top w:val="single" w:sz="4" w:space="0" w:color="auto"/>
              <w:left w:val="single" w:sz="4" w:space="0" w:color="auto"/>
              <w:bottom w:val="single" w:sz="4" w:space="0" w:color="auto"/>
              <w:right w:val="single" w:sz="4" w:space="0" w:color="auto"/>
            </w:tcBorders>
          </w:tcPr>
          <w:p w:rsidR="00CB336E" w:rsidRPr="00E210ED" w:rsidRDefault="00CB336E" w:rsidP="00BF6D22">
            <w:pPr>
              <w:spacing w:line="480" w:lineRule="auto"/>
              <w:jc w:val="center"/>
              <w:rPr>
                <w:rFonts w:ascii="Times New Roman CYR" w:eastAsia="Calibri" w:hAnsi="Times New Roman CYR" w:cs="Times New Roman CYR"/>
                <w:sz w:val="24"/>
                <w:szCs w:val="24"/>
              </w:rPr>
            </w:pPr>
          </w:p>
          <w:p w:rsidR="00CB336E" w:rsidRPr="00E210ED" w:rsidRDefault="00CB336E" w:rsidP="00BF6D22">
            <w:pPr>
              <w:spacing w:line="480" w:lineRule="auto"/>
              <w:jc w:val="center"/>
              <w:rPr>
                <w:rFonts w:eastAsia="Calibri"/>
              </w:rPr>
            </w:pPr>
            <w:hyperlink r:id="rId59" w:history="1">
              <w:r w:rsidRPr="00E210ED">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B336E" w:rsidRPr="00E210ED" w:rsidRDefault="00CB336E" w:rsidP="00BF6D22">
            <w:pPr>
              <w:spacing w:line="480" w:lineRule="auto"/>
              <w:jc w:val="center"/>
              <w:rPr>
                <w:rFonts w:eastAsia="Calibri"/>
              </w:rPr>
            </w:pPr>
            <w:r w:rsidRPr="00E210ED">
              <w:rPr>
                <w:rFonts w:eastAsia="Calibri"/>
                <w:noProof/>
              </w:rPr>
              <w:drawing>
                <wp:inline distT="0" distB="0" distL="0" distR="0" wp14:anchorId="130BB013" wp14:editId="426E93C2">
                  <wp:extent cx="2184400" cy="1962150"/>
                  <wp:effectExtent l="0" t="0" r="6350" b="0"/>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B336E" w:rsidRPr="00E210ED" w:rsidRDefault="00CB336E" w:rsidP="00CB336E">
      <w:pPr>
        <w:spacing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CB336E" w:rsidRPr="00E210ED"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CB336E" w:rsidRPr="00E210ED" w:rsidRDefault="00CB336E" w:rsidP="00BF6D22">
            <w:pPr>
              <w:spacing w:line="480" w:lineRule="auto"/>
              <w:jc w:val="center"/>
              <w:rPr>
                <w:rFonts w:ascii="Times New Roman CYR" w:eastAsia="Calibri" w:hAnsi="Times New Roman CYR" w:cs="Times New Roman CYR"/>
                <w:sz w:val="24"/>
                <w:szCs w:val="24"/>
              </w:rPr>
            </w:pPr>
          </w:p>
          <w:p w:rsidR="00CB336E" w:rsidRPr="00E210ED" w:rsidRDefault="00CB336E" w:rsidP="00BF6D22">
            <w:pPr>
              <w:spacing w:line="480" w:lineRule="auto"/>
              <w:jc w:val="center"/>
              <w:rPr>
                <w:rFonts w:ascii="Arial Black" w:eastAsia="Calibri" w:hAnsi="Arial Black" w:cs="Arial"/>
                <w:b/>
                <w:sz w:val="28"/>
                <w:szCs w:val="28"/>
              </w:rPr>
            </w:pPr>
            <w:hyperlink r:id="rId61" w:history="1">
              <w:r w:rsidRPr="00E210ED">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CB336E" w:rsidRPr="00E210ED" w:rsidRDefault="00CB336E" w:rsidP="00BF6D22">
            <w:pPr>
              <w:spacing w:line="480" w:lineRule="auto"/>
              <w:jc w:val="center"/>
              <w:rPr>
                <w:rFonts w:ascii="Arial Black" w:eastAsia="Calibri" w:hAnsi="Arial Black" w:cs="Arial"/>
                <w:b/>
                <w:sz w:val="28"/>
                <w:szCs w:val="28"/>
              </w:rPr>
            </w:pPr>
            <w:r w:rsidRPr="00E210ED">
              <w:rPr>
                <w:rFonts w:eastAsia="Calibri"/>
                <w:noProof/>
              </w:rPr>
              <w:drawing>
                <wp:inline distT="0" distB="0" distL="0" distR="0" wp14:anchorId="27273E90" wp14:editId="2797DFEC">
                  <wp:extent cx="1600200" cy="1600200"/>
                  <wp:effectExtent l="0" t="0" r="0" b="0"/>
                  <wp:docPr id="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B336E" w:rsidRPr="00E210ED" w:rsidRDefault="00CB336E" w:rsidP="00CB336E">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CB336E" w:rsidRPr="00E210ED" w:rsidTr="00BF6D22">
        <w:tc>
          <w:tcPr>
            <w:tcW w:w="3652" w:type="dxa"/>
            <w:tcBorders>
              <w:top w:val="single" w:sz="4" w:space="0" w:color="auto"/>
              <w:left w:val="single" w:sz="4" w:space="0" w:color="auto"/>
              <w:bottom w:val="single" w:sz="4" w:space="0" w:color="auto"/>
              <w:right w:val="single" w:sz="4" w:space="0" w:color="auto"/>
            </w:tcBorders>
          </w:tcPr>
          <w:p w:rsidR="00CB336E" w:rsidRPr="00E210ED" w:rsidRDefault="00CB336E" w:rsidP="00BF6D22">
            <w:pPr>
              <w:spacing w:line="480" w:lineRule="auto"/>
              <w:jc w:val="center"/>
              <w:rPr>
                <w:rFonts w:ascii="Times New Roman CYR" w:eastAsia="Calibri" w:hAnsi="Times New Roman CYR" w:cs="Times New Roman CYR"/>
                <w:sz w:val="24"/>
                <w:szCs w:val="24"/>
              </w:rPr>
            </w:pPr>
          </w:p>
          <w:p w:rsidR="00CB336E" w:rsidRPr="00E210ED" w:rsidRDefault="00CB336E" w:rsidP="00BF6D22">
            <w:pPr>
              <w:spacing w:line="480" w:lineRule="auto"/>
              <w:jc w:val="center"/>
              <w:rPr>
                <w:rFonts w:eastAsia="Calibri"/>
                <w:lang w:val="en-US"/>
              </w:rPr>
            </w:pPr>
            <w:hyperlink r:id="rId63" w:history="1">
              <w:r w:rsidRPr="00E210ED">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B336E" w:rsidRPr="00E210ED" w:rsidRDefault="00CB336E" w:rsidP="00BF6D22">
            <w:pPr>
              <w:spacing w:line="480" w:lineRule="auto"/>
              <w:jc w:val="center"/>
              <w:rPr>
                <w:rFonts w:eastAsia="Calibri"/>
                <w:lang w:val="en-US"/>
              </w:rPr>
            </w:pPr>
            <w:r w:rsidRPr="00E210ED">
              <w:rPr>
                <w:rFonts w:eastAsia="Calibri"/>
                <w:noProof/>
              </w:rPr>
              <w:drawing>
                <wp:inline distT="0" distB="0" distL="0" distR="0" wp14:anchorId="087630C3" wp14:editId="39395C04">
                  <wp:extent cx="3752850" cy="1841500"/>
                  <wp:effectExtent l="0" t="0" r="0" b="6350"/>
                  <wp:docPr id="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B336E" w:rsidRPr="00E210ED" w:rsidRDefault="00CB336E" w:rsidP="00CB336E">
      <w:pP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936"/>
        <w:gridCol w:w="5969"/>
      </w:tblGrid>
      <w:tr w:rsidR="00CB336E" w:rsidRPr="00E210ED" w:rsidTr="00BF6D22">
        <w:tc>
          <w:tcPr>
            <w:tcW w:w="3936" w:type="dxa"/>
            <w:tcBorders>
              <w:top w:val="single" w:sz="4" w:space="0" w:color="auto"/>
              <w:left w:val="single" w:sz="4" w:space="0" w:color="auto"/>
              <w:bottom w:val="single" w:sz="4" w:space="0" w:color="auto"/>
              <w:right w:val="single" w:sz="4" w:space="0" w:color="auto"/>
            </w:tcBorders>
          </w:tcPr>
          <w:p w:rsidR="00CB336E" w:rsidRPr="00E210ED" w:rsidRDefault="00CB336E" w:rsidP="00BF6D22">
            <w:pPr>
              <w:jc w:val="center"/>
              <w:rPr>
                <w:rFonts w:ascii="Times New Roman CYR" w:eastAsia="Calibri" w:hAnsi="Times New Roman CYR" w:cs="Times New Roman CYR"/>
                <w:sz w:val="24"/>
                <w:szCs w:val="24"/>
              </w:rPr>
            </w:pPr>
          </w:p>
          <w:p w:rsidR="00CB336E" w:rsidRPr="00E210ED" w:rsidRDefault="00CB336E" w:rsidP="00BF6D22">
            <w:pPr>
              <w:jc w:val="center"/>
              <w:rPr>
                <w:rFonts w:eastAsia="Calibri"/>
              </w:rPr>
            </w:pPr>
            <w:hyperlink r:id="rId65" w:history="1">
              <w:r w:rsidRPr="00E210ED">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B336E" w:rsidRPr="00E210ED" w:rsidRDefault="00CB336E" w:rsidP="00BF6D22">
            <w:pPr>
              <w:jc w:val="center"/>
              <w:rPr>
                <w:rFonts w:eastAsia="Calibri"/>
              </w:rPr>
            </w:pPr>
            <w:r w:rsidRPr="00E210ED">
              <w:rPr>
                <w:rFonts w:eastAsia="Calibri"/>
                <w:noProof/>
              </w:rPr>
              <w:drawing>
                <wp:inline distT="0" distB="0" distL="0" distR="0" wp14:anchorId="688BE19D" wp14:editId="595B2DE8">
                  <wp:extent cx="2806700" cy="1873250"/>
                  <wp:effectExtent l="0" t="0" r="0" b="0"/>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4A2985" w:rsidRDefault="004A2985">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4A2985">
      <w:headerReference w:type="even" r:id="rId67"/>
      <w:headerReference w:type="default" r:id="rId68"/>
      <w:footerReference w:type="even" r:id="rId69"/>
      <w:footerReference w:type="default" r:id="rId70"/>
      <w:headerReference w:type="first" r:id="rId71"/>
      <w:footerReference w:type="first" r:id="rId7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5B6" w:rsidRDefault="006925B6" w:rsidP="00D31BA2">
      <w:pPr>
        <w:spacing w:after="0" w:line="240" w:lineRule="auto"/>
      </w:pPr>
      <w:r>
        <w:separator/>
      </w:r>
    </w:p>
  </w:endnote>
  <w:endnote w:type="continuationSeparator" w:id="0">
    <w:p w:rsidR="006925B6" w:rsidRDefault="006925B6" w:rsidP="00D31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BA2" w:rsidRDefault="00D31BA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BA2" w:rsidRDefault="00D31BA2" w:rsidP="00D31BA2">
    <w:pPr>
      <w:pStyle w:val="a5"/>
    </w:pPr>
    <w:r>
      <w:t xml:space="preserve">Вернуться в каталог готовых дипломов и магистерских диссертаций </w:t>
    </w:r>
  </w:p>
  <w:p w:rsidR="00D31BA2" w:rsidRDefault="00D31BA2" w:rsidP="00D31BA2">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BA2" w:rsidRDefault="00D31BA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5B6" w:rsidRDefault="006925B6" w:rsidP="00D31BA2">
      <w:pPr>
        <w:spacing w:after="0" w:line="240" w:lineRule="auto"/>
      </w:pPr>
      <w:r>
        <w:separator/>
      </w:r>
    </w:p>
  </w:footnote>
  <w:footnote w:type="continuationSeparator" w:id="0">
    <w:p w:rsidR="006925B6" w:rsidRDefault="006925B6" w:rsidP="00D31B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BA2" w:rsidRDefault="00D31BA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ECE" w:rsidRDefault="00D61ECE" w:rsidP="00D61ECE">
    <w:pPr>
      <w:pStyle w:val="a3"/>
    </w:pPr>
    <w:r>
      <w:t>Узнайте стоимость написания на заказ студенческих и аспирантских работ</w:t>
    </w:r>
  </w:p>
  <w:p w:rsidR="00D31BA2" w:rsidRDefault="00D61ECE" w:rsidP="00D61ECE">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BA2" w:rsidRDefault="00D31BA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14A"/>
    <w:rsid w:val="003A5550"/>
    <w:rsid w:val="004A2985"/>
    <w:rsid w:val="006368F7"/>
    <w:rsid w:val="006925B6"/>
    <w:rsid w:val="00741163"/>
    <w:rsid w:val="00CB336E"/>
    <w:rsid w:val="00D31BA2"/>
    <w:rsid w:val="00D61ECE"/>
    <w:rsid w:val="00DB714A"/>
    <w:rsid w:val="00E428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1BA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31BA2"/>
  </w:style>
  <w:style w:type="paragraph" w:styleId="a5">
    <w:name w:val="footer"/>
    <w:basedOn w:val="a"/>
    <w:link w:val="a6"/>
    <w:uiPriority w:val="99"/>
    <w:unhideWhenUsed/>
    <w:rsid w:val="00D31BA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31BA2"/>
  </w:style>
  <w:style w:type="paragraph" w:styleId="a7">
    <w:name w:val="Balloon Text"/>
    <w:basedOn w:val="a"/>
    <w:link w:val="a8"/>
    <w:uiPriority w:val="99"/>
    <w:semiHidden/>
    <w:unhideWhenUsed/>
    <w:rsid w:val="00CB336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B336E"/>
    <w:rPr>
      <w:rFonts w:ascii="Tahoma" w:hAnsi="Tahoma" w:cs="Tahoma"/>
      <w:sz w:val="16"/>
      <w:szCs w:val="16"/>
    </w:rPr>
  </w:style>
  <w:style w:type="table" w:customStyle="1" w:styleId="2">
    <w:name w:val="Сетка таблицы2"/>
    <w:basedOn w:val="a1"/>
    <w:uiPriority w:val="59"/>
    <w:rsid w:val="00CB336E"/>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1BA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31BA2"/>
  </w:style>
  <w:style w:type="paragraph" w:styleId="a5">
    <w:name w:val="footer"/>
    <w:basedOn w:val="a"/>
    <w:link w:val="a6"/>
    <w:uiPriority w:val="99"/>
    <w:unhideWhenUsed/>
    <w:rsid w:val="00D31BA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31BA2"/>
  </w:style>
  <w:style w:type="paragraph" w:styleId="a7">
    <w:name w:val="Balloon Text"/>
    <w:basedOn w:val="a"/>
    <w:link w:val="a8"/>
    <w:uiPriority w:val="99"/>
    <w:semiHidden/>
    <w:unhideWhenUsed/>
    <w:rsid w:val="00CB336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B336E"/>
    <w:rPr>
      <w:rFonts w:ascii="Tahoma" w:hAnsi="Tahoma" w:cs="Tahoma"/>
      <w:sz w:val="16"/>
      <w:szCs w:val="16"/>
    </w:rPr>
  </w:style>
  <w:style w:type="table" w:customStyle="1" w:styleId="2">
    <w:name w:val="Сетка таблицы2"/>
    <w:basedOn w:val="a1"/>
    <w:uiPriority w:val="59"/>
    <w:rsid w:val="00CB336E"/>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hyperlink" Target="http://&#1091;&#1095;&#1077;&#1073;&#1085;&#1080;&#1082;&#1080;.&#1080;&#1085;&#1092;&#1086;&#1088;&#1084;2000.&#1088;&#1092;/otu.shtml" TargetMode="External"/><Relationship Id="rId68" Type="http://schemas.openxmlformats.org/officeDocument/2006/relationships/header" Target="header2.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0.png"/><Relationship Id="rId66" Type="http://schemas.openxmlformats.org/officeDocument/2006/relationships/image" Target="media/image54.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hyperlink" Target="http://&#1091;&#1095;&#1077;&#1073;&#1085;&#1080;&#1082;&#1080;.&#1080;&#1085;&#1092;&#1086;&#1088;&#1084;2000.&#1088;&#1092;/chitai.shtml" TargetMode="External"/><Relationship Id="rId61" Type="http://schemas.openxmlformats.org/officeDocument/2006/relationships/hyperlink" Target="http://&#1091;&#1095;&#1077;&#1073;&#1085;&#1080;&#1082;&#1080;.&#1080;&#1085;&#1092;&#1086;&#1088;&#1084;2000.&#1088;&#1092;/lectr.shtml"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1.png"/><Relationship Id="rId65" Type="http://schemas.openxmlformats.org/officeDocument/2006/relationships/hyperlink" Target="http://&#1091;&#1095;&#1077;&#1073;&#1085;&#1080;&#1082;&#1080;.&#1080;&#1085;&#1092;&#1086;&#1088;&#1084;2000.&#1088;&#1092;/fit1.shtml"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image" Target="media/image53.png"/><Relationship Id="rId69"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image" Target="media/image44.wmf"/><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hyperlink" Target="http://&#1091;&#1095;&#1077;&#1073;&#1085;&#1080;&#1082;&#1080;.&#1080;&#1085;&#1092;&#1086;&#1088;&#1084;2000.&#1088;&#1092;/kar.shtml" TargetMode="External"/><Relationship Id="rId67" Type="http://schemas.openxmlformats.org/officeDocument/2006/relationships/header" Target="header1.xml"/><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2.png"/><Relationship Id="rId7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16565</Words>
  <Characters>94425</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2023-02-12T14:29:00Z</dcterms:created>
  <dcterms:modified xsi:type="dcterms:W3CDTF">2023-05-12T04:03:00Z</dcterms:modified>
</cp:coreProperties>
</file>