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EBC" w:rsidRDefault="001B7EB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B7EBC" w:rsidRDefault="001B7EB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B7EBC" w:rsidRPr="001B7EBC" w:rsidRDefault="001B7EBC" w:rsidP="001B7EB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B7EBC">
        <w:rPr>
          <w:rFonts w:ascii="Times New Roman CYR" w:hAnsi="Times New Roman CYR" w:cs="Times New Roman CYR"/>
          <w:b/>
          <w:sz w:val="28"/>
          <w:szCs w:val="28"/>
        </w:rPr>
        <w:t>Риски в управлении предприятием ООО Кия-1</w:t>
      </w:r>
    </w:p>
    <w:p w:rsidR="001B7EBC" w:rsidRDefault="001B7EBC" w:rsidP="001B7EB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1B7EBC" w:rsidRDefault="001B7EBC" w:rsidP="001B7EB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2011</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Сущность риска в </w:t>
      </w:r>
      <w:proofErr w:type="gramStart"/>
      <w:r>
        <w:rPr>
          <w:rFonts w:ascii="Times New Roman CYR" w:hAnsi="Times New Roman CYR" w:cs="Times New Roman CYR"/>
          <w:sz w:val="28"/>
          <w:szCs w:val="28"/>
        </w:rPr>
        <w:t>риск-менеджменте</w:t>
      </w:r>
      <w:proofErr w:type="gramEnd"/>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Риск-менеджмент как отрасль научного управления</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Понятие и сущность риска в </w:t>
      </w:r>
      <w:proofErr w:type="gramStart"/>
      <w:r>
        <w:rPr>
          <w:rFonts w:ascii="Times New Roman CYR" w:hAnsi="Times New Roman CYR" w:cs="Times New Roman CYR"/>
          <w:sz w:val="28"/>
          <w:szCs w:val="28"/>
        </w:rPr>
        <w:t>риск-менеджменте</w:t>
      </w:r>
      <w:proofErr w:type="gramEnd"/>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Основные подходы к классификации рисков</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Возможные причины возникновения рисков</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управления рисками в ООО «Кия-1»</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движения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внешних факторов, влияющих на деятельность ООО «Кия-1»</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Пути снижения рисков в ООО «Кия-1»</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Глоссарий</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proofErr w:type="gramStart"/>
      <w:r>
        <w:rPr>
          <w:rFonts w:ascii="Times New Roman CYR" w:hAnsi="Times New Roman CYR" w:cs="Times New Roman CYR"/>
          <w:sz w:val="28"/>
          <w:szCs w:val="28"/>
        </w:rPr>
        <w:t xml:space="preserve"> А</w:t>
      </w:r>
      <w:proofErr w:type="gramEnd"/>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proofErr w:type="gramStart"/>
      <w:r>
        <w:rPr>
          <w:rFonts w:ascii="Times New Roman CYR" w:hAnsi="Times New Roman CYR" w:cs="Times New Roman CYR"/>
          <w:sz w:val="28"/>
          <w:szCs w:val="28"/>
        </w:rPr>
        <w:t xml:space="preserve"> Б</w:t>
      </w:r>
      <w:proofErr w:type="gramEnd"/>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proofErr w:type="gramStart"/>
      <w:r>
        <w:rPr>
          <w:rFonts w:ascii="Times New Roman CYR" w:hAnsi="Times New Roman CYR" w:cs="Times New Roman CYR"/>
          <w:sz w:val="28"/>
          <w:szCs w:val="28"/>
        </w:rPr>
        <w:t xml:space="preserve"> В</w:t>
      </w:r>
      <w:proofErr w:type="gramEnd"/>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Г</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присущ любой сфере человеческой деятельности, что связано с множеством условий и факторов, влияющих на положительный исход принимаемых людьми решений. Исторический опыт показывает, что риск недополучения намеченных результатов особенно стал проявляться при всеобщности товарно-денежных отношений, конкуренции участников хозяйственного оборота. Поэтому с возникновением и развитием капиталистических отношений появляются различные теории риска, а классики экономической теории уделяют большое внимание исследованию проблем риска в предпринимательской деятельности.</w:t>
      </w:r>
    </w:p>
    <w:p w:rsidR="000745C6" w:rsidRPr="000745C6" w:rsidRDefault="000745C6" w:rsidP="000745C6">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745C6">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745C6" w:rsidRDefault="008C3AFC" w:rsidP="000745C6">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0745C6" w:rsidRPr="000745C6">
          <w:rPr>
            <w:rFonts w:ascii="Times New Roman CYR" w:eastAsia="Times New Roman" w:hAnsi="Times New Roman CYR" w:cs="Times New Roman CYR"/>
            <w:b/>
            <w:color w:val="FF0000"/>
            <w:sz w:val="28"/>
            <w:szCs w:val="28"/>
            <w:u w:val="single"/>
            <w:lang w:val="en-US"/>
          </w:rPr>
          <w:t>http</w:t>
        </w:r>
        <w:r w:rsidR="000745C6" w:rsidRPr="000745C6">
          <w:rPr>
            <w:rFonts w:ascii="Times New Roman CYR" w:eastAsia="Times New Roman" w:hAnsi="Times New Roman CYR" w:cs="Times New Roman CYR"/>
            <w:b/>
            <w:color w:val="FF0000"/>
            <w:sz w:val="28"/>
            <w:szCs w:val="28"/>
            <w:u w:val="single"/>
          </w:rPr>
          <w:t>://учебники.информ2000.рф/</w:t>
        </w:r>
        <w:r w:rsidR="000745C6" w:rsidRPr="000745C6">
          <w:rPr>
            <w:rFonts w:ascii="Times New Roman CYR" w:eastAsia="Times New Roman" w:hAnsi="Times New Roman CYR" w:cs="Times New Roman CYR"/>
            <w:b/>
            <w:color w:val="FF0000"/>
            <w:sz w:val="28"/>
            <w:szCs w:val="28"/>
            <w:u w:val="single"/>
            <w:lang w:val="en-US"/>
          </w:rPr>
          <w:t>diplom</w:t>
        </w:r>
        <w:r w:rsidR="000745C6" w:rsidRPr="000745C6">
          <w:rPr>
            <w:rFonts w:ascii="Times New Roman CYR" w:eastAsia="Times New Roman" w:hAnsi="Times New Roman CYR" w:cs="Times New Roman CYR"/>
            <w:b/>
            <w:color w:val="FF0000"/>
            <w:sz w:val="28"/>
            <w:szCs w:val="28"/>
            <w:u w:val="single"/>
          </w:rPr>
          <w:t>.</w:t>
        </w:r>
        <w:r w:rsidR="000745C6" w:rsidRPr="000745C6">
          <w:rPr>
            <w:rFonts w:ascii="Times New Roman CYR" w:eastAsia="Times New Roman" w:hAnsi="Times New Roman CYR" w:cs="Times New Roman CYR"/>
            <w:b/>
            <w:color w:val="FF0000"/>
            <w:sz w:val="28"/>
            <w:szCs w:val="28"/>
            <w:u w:val="single"/>
            <w:lang w:val="en-US"/>
          </w:rPr>
          <w:t>shtml</w:t>
        </w:r>
      </w:hyperlink>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составляет объективно неизбежный элемент принятия любого хозяйственного решения в силу того, что неопределенность - неизбежная характеристика условий хозяйствования. В экономической литературе часто не делается различий между понятиями «риск» и «неопределенность». В действительности первое характеризует такую ситуацию, когда наступление неизвестных событий весьма вероятно и может быть оценено количественно, а второе - когда вероятность наступления таких событий оценить заранее невозможно. В реальной ситуации решение, принимаемое предпринимателем, почти всегда сопряжено с риском, который обусловлен наличием ряда факторов неопределенности, заранее не предвиденных.</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предприниматель вправе частично переложить риск на других субъектов экономики, но полностью избежать его он не может. Справедливо считается: кто не рискует, тот не выигрывает. Иными словами, для получения экономической прибыли предприниматель должен осознанно пойти на принятие рискового решения.</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Риск характеризуется как опасность возникновения непредвиденных потерь ожидаемой прибыли, дохода или имущества, денежных сре</w:t>
      </w:r>
      <w:proofErr w:type="gramStart"/>
      <w:r>
        <w:rPr>
          <w:rFonts w:ascii="Times New Roman CYR" w:hAnsi="Times New Roman CYR" w:cs="Times New Roman CYR"/>
          <w:sz w:val="28"/>
          <w:szCs w:val="28"/>
        </w:rPr>
        <w:t>дств в св</w:t>
      </w:r>
      <w:proofErr w:type="gramEnd"/>
      <w:r>
        <w:rPr>
          <w:rFonts w:ascii="Times New Roman CYR" w:hAnsi="Times New Roman CYR" w:cs="Times New Roman CYR"/>
          <w:sz w:val="28"/>
          <w:szCs w:val="28"/>
        </w:rPr>
        <w:t>язи со случайным изменением условий экономической деятельности, неблагоприятными обстоятельствами. Его величина измеряется частотой, вероятностью возникновения того или иного уровня потерь.</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 уверенностью сказать: неопределенность и ри</w:t>
      </w:r>
      <w:proofErr w:type="gramStart"/>
      <w:r>
        <w:rPr>
          <w:rFonts w:ascii="Times New Roman CYR" w:hAnsi="Times New Roman CYR" w:cs="Times New Roman CYR"/>
          <w:sz w:val="28"/>
          <w:szCs w:val="28"/>
        </w:rPr>
        <w:t>ск в пр</w:t>
      </w:r>
      <w:proofErr w:type="gramEnd"/>
      <w:r>
        <w:rPr>
          <w:rFonts w:ascii="Times New Roman CYR" w:hAnsi="Times New Roman CYR" w:cs="Times New Roman CYR"/>
          <w:sz w:val="28"/>
          <w:szCs w:val="28"/>
        </w:rPr>
        <w:t xml:space="preserve">едпринимательской деятельности играют очень важную роль, заключая в себе противоречие между планируемым и действительным, то есть источник развития предпринимательской деятельности. Предпринимательский риск имеет объективную основу из-за неопределенности внешней среды по отношению к предпринимательской фирме.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исследования - внедрение мероприятий по снижению рисков в коммерческой организации позволяет повысить эффективность предпринимательской деятельности.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выпускной квалификационной работы - изучение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и разработка мероприятий по снижению рисков в ООО «Кия-1».</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необходимо решить следующие задачи: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риск-менеджмент как отрасль научного управления;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дать понятие и сущность риска в </w:t>
      </w:r>
      <w:proofErr w:type="gramStart"/>
      <w:r>
        <w:rPr>
          <w:rFonts w:ascii="Times New Roman CYR" w:hAnsi="Times New Roman CYR" w:cs="Times New Roman CYR"/>
          <w:sz w:val="28"/>
          <w:szCs w:val="28"/>
        </w:rPr>
        <w:t>риск-менеджменте</w:t>
      </w:r>
      <w:proofErr w:type="gramEnd"/>
      <w:r>
        <w:rPr>
          <w:rFonts w:ascii="Times New Roman CYR" w:hAnsi="Times New Roman CYR" w:cs="Times New Roman CYR"/>
          <w:sz w:val="28"/>
          <w:szCs w:val="28"/>
        </w:rPr>
        <w:t>;</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охарактеризовать основные подходы к классификации рисков;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возможные причины возникновения рисков.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ООО «Кия-1».</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управление рисками в ООО «Кия-1».</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работы: грамотное управление рисками на предприятии позволяет повысить эффективность деятельности предприятия путем повышения экономических показателей.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использованы следующие методы исследования: методы </w:t>
      </w:r>
      <w:r>
        <w:rPr>
          <w:rFonts w:ascii="Times New Roman CYR" w:hAnsi="Times New Roman CYR" w:cs="Times New Roman CYR"/>
          <w:sz w:val="28"/>
          <w:szCs w:val="28"/>
        </w:rPr>
        <w:lastRenderedPageBreak/>
        <w:t xml:space="preserve">анализа и синтеза, индукции и дедукции, наблюдения и сравнения, методы системного и структурного анализа.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теоретической базой для исследования использовались труды следующих авторов: </w:t>
      </w:r>
      <w:proofErr w:type="gramStart"/>
      <w:r>
        <w:rPr>
          <w:rFonts w:ascii="Times New Roman CYR" w:hAnsi="Times New Roman CYR" w:cs="Times New Roman CYR"/>
          <w:sz w:val="28"/>
          <w:szCs w:val="28"/>
        </w:rPr>
        <w:t>К.В. Балдина, И. Бланка, О.С. Виханского, Л.П. Гончаренко, С.А. Филин, М. Лапуста, Н.Н. Малашихиной, М. М. Максимцова, А. В. Игнатьевой, И.И. Семеновой, Э.А. Смирнова, О.П. Ступакова, Р.А. Токаренко, Б. Мильнера, Ф. Лиса, Э.А. Уткина, Р.А. Фатхутдинова, А.Н. Фомичева и др.</w:t>
      </w:r>
      <w:proofErr w:type="gramEnd"/>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1. Сущность риска в </w:t>
      </w:r>
      <w:proofErr w:type="gramStart"/>
      <w:r>
        <w:rPr>
          <w:rFonts w:ascii="Times New Roman CYR" w:hAnsi="Times New Roman CYR" w:cs="Times New Roman CYR"/>
          <w:sz w:val="28"/>
          <w:szCs w:val="28"/>
        </w:rPr>
        <w:t>риск-менеджменте</w:t>
      </w:r>
      <w:proofErr w:type="gramEnd"/>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Риск-менеджмент как отрасль научного управления</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Понятия «управление», «менеджмент» известны сегодня практически каждому образованному человеку. Их значимость особенно ясно была осознана в 20-30-е гг. XX в., когда управленческая деятельность превратилась в профессию, область знаний - в самостоятельную сферу исследований. Сегодня очевиден тот факт, что высокий уровень развития современного мира, по большей части, объясняется успешными методами управления. В любой сфере требуются компетентные управляющие, этот социальный слой превратился в весьма влиятельную общественную силу, а профессиональная деятельность часто является наиболее важным ключом к успеху.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 термин «менеджмент» происходит от древнеанглийского слова -manage (латинское manus - рука). На сегодняшний день в научно-методической литературе отсутствует единое определение понятия «менеджмент».</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Профессор О.С. Виханский определяет управление как умение добиваться поставленных целей, используя труд, интеллект, мотивы поведения других людей; функцию, вид деятельности по руководству людьми, а также как область человеческого знания, помогающую осуществить эту функцию.</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ведущих теоретиков в области управления и организации П. Дракер определяет управление как «особый вид деятельности, превращающий неорганизованную толпу в эффективную целенаправленную и производительную группу».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Профессор М. Мэскон, соавтор известного американского учебника «Основы менеджмента», характеризует управление как «процесс планирования, организации, мотивации и контроля, необходимые для того, чтобы </w:t>
      </w:r>
      <w:r>
        <w:rPr>
          <w:rFonts w:ascii="Times New Roman CYR" w:hAnsi="Times New Roman CYR" w:cs="Times New Roman CYR"/>
          <w:sz w:val="28"/>
          <w:szCs w:val="28"/>
        </w:rPr>
        <w:lastRenderedPageBreak/>
        <w:t>сформулировать и достичь целей организации».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Профессор М.М. Максимцев определяет менеджмент как «управление в социально-экономических системах (фирмах, акционерных обществах, учреждениях и др.)...», а также как «...совокупность современных принципов, методов, средств и форм управления производством с целью повышения его эффективности (увеличения прибыли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И.И. Семенова определяет менеджмент как управление в условиях рынка или как процесс планирования, организации, мотивации и контроля, необходимый для достижения организацией цели.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авторы определяют менеджмент как «интеграционный процесс, с помощью которого профессионально подготовленные специалисты формируют организации и управляют ими путем постановки целей и разработки способов их достижения».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Определений понятия «менеджмент» большое множество и все они достаточно разнообразны. Подобное положение вещей отчасти объясняется тем, что менеджмент можно рассматривать с различных точек зрения: как явление, как процесс, как систему, как отрасль научных знаний, как искусство, как категорию людей, занятых управленческим трудом, или орган управления.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явление менеджмент представляет собой целенаправленное, планомерное воздействие на объект управления со стороны субъекта управления. Как процесс менеджмент включает в себя ряд последовательных функций. К указанным функциям можно отнести планирование, организацию, регулирование, мотивацию, контроль и учет.</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Менеджмент как система представляет собой совокупность взаимозависимых элементов, таких как люди, информация, структура и т. п.</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научной точки зрения менеджмент представляет собой науку, изучающую проблемы управления. Основными задачами менеджмента как </w:t>
      </w:r>
      <w:r>
        <w:rPr>
          <w:rFonts w:ascii="Times New Roman CYR" w:hAnsi="Times New Roman CYR" w:cs="Times New Roman CYR"/>
          <w:sz w:val="28"/>
          <w:szCs w:val="28"/>
        </w:rPr>
        <w:lastRenderedPageBreak/>
        <w:t>науки являются: объяснение природы управленческого труда, установление причинно-следственных связей в управленческих процессах, выявление условий, при которых совместный труд людей оказывается наиболее эффективным. Важность и значимость систематизированных научных знаний об управлении определяется тем, что они позволяют своевременно и качественно управлять текущей деятельностью организации, прогнозировать возможные варианты развития событий и в соответствии с этим разрабатывать стратегию и тактику функционирования, грамотно осуществлять постановку целей и задач.</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Нередко менеджмент рассматривают как искусство, которое опирается на лежащие в его основе концепции, законы, принципы и методы. Такой подход основан на том, что любая организация как объект управленческой деятельности представляет собой совокупность сложных социально-технических систем, на функционирование которых оказывают влияние многочисленные внешние и внутренние факторы.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теории и практике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можно выделить три основных направления. Первое направление связано с разработкой системы мер, направленных на предупреждение и профилактику рисков. Второе - касается вопросов минимизации негативных последствий, которые могут причинить риски хозяйственной организации. И, наконец, третье направление тесным образом связано с возможностью получать в ситуациях риска дополнительные доходы или иные коммерческие преимущества. Только отрабатывая все три вышеназванных направления в совокупности, руководитель организации сможет создать действительно эффективную систему управления рисками.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Основную цель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можно определить как обеспечение максимальной эффективности управления рисками хозяйственной организации.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эффективность любой деятельности определяется как отношение эффекта, полученного в результате указанной деятельности, к </w:t>
      </w:r>
      <w:r>
        <w:rPr>
          <w:rFonts w:ascii="Times New Roman CYR" w:hAnsi="Times New Roman CYR" w:cs="Times New Roman CYR"/>
          <w:sz w:val="28"/>
          <w:szCs w:val="28"/>
        </w:rPr>
        <w:lastRenderedPageBreak/>
        <w:t xml:space="preserve">затратам, понесенным в процессе ее осуществления.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риск-менеджмент затрагивает самые разнообразные сферы деятельности организации, то все используемые в расчетах показатели целесообразно приводить в стоимостном выражении. Это позволит унифицировать исходную фактологическую базу и избежать путаницы.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поставленной цели в рамках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решаются следующие основные задачи: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профилактика возникновения рисков;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минимизация ущерба, причиненного рисками;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максимизация дополнительной прибыли, получаемой в результате управления рисками.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задача решается посредством прогнозирования рисков и их своевременной нейтрализации. В рамках решения второй задачи осуществляется создание внешних и внутренних страховых и резервных фондов, за счет средств которых можно частично или полностью компенсировать негативные последствия рисков. Выполнение третьей задачи обеспечивается путем рационального использования ситуаций риска с целью максимизации получаемой фирмой прибыли.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риск-менеджмент как самостоятельное направление исследований в области теоретического управления только начинает свое формирование. В настоящее время еще рано говорить о </w:t>
      </w:r>
      <w:proofErr w:type="gramStart"/>
      <w:r>
        <w:rPr>
          <w:rFonts w:ascii="Times New Roman CYR" w:hAnsi="Times New Roman CYR" w:cs="Times New Roman CYR"/>
          <w:sz w:val="28"/>
          <w:szCs w:val="28"/>
        </w:rPr>
        <w:t>риск-менеджменте</w:t>
      </w:r>
      <w:proofErr w:type="gramEnd"/>
      <w:r>
        <w:rPr>
          <w:rFonts w:ascii="Times New Roman CYR" w:hAnsi="Times New Roman CYR" w:cs="Times New Roman CYR"/>
          <w:sz w:val="28"/>
          <w:szCs w:val="28"/>
        </w:rPr>
        <w:t xml:space="preserve"> как об окончательно сформировавшейся отрасли научного управления. Имеющиеся в этой сфере теоретические знания и практические наработки разрознены и не систематизированы. По-видимому, лишь спустя несколько лет можно будет рассматривать риск-менеджмент как полноправный раздел теории управления.</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Понятие и сущность риска в </w:t>
      </w:r>
      <w:proofErr w:type="gramStart"/>
      <w:r>
        <w:rPr>
          <w:rFonts w:ascii="Times New Roman CYR" w:hAnsi="Times New Roman CYR" w:cs="Times New Roman CYR"/>
          <w:sz w:val="28"/>
          <w:szCs w:val="28"/>
        </w:rPr>
        <w:t>риск-менеджменте</w:t>
      </w:r>
      <w:proofErr w:type="gramEnd"/>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экономике сфера предпринимательских рисков является относительно новой и практически неизученной. Это обстоятельство объясняет наличие множества различных, зачастую противоречащих друг другу подходов к определению понятия «риск».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Для того чтобы разработать наиболее полное и правильное понятие этого термина, целесообразно рассмотреть основные из вышеупомянутых подходов.</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 Балдин под риском предприятия понимает вероятность возникновения неблагоприятных последствий в форме потери дохода или капитала в ситуации неопределенности условий осуществления его финансово-хозяйственной деятельности.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Профессор И.В. Балашов в наиболее общем виде определяет риск как возможную опасность потерь, вытекающую из специфики тех или иных явлений природы и видов деятельности человека. В то же время он подчеркивает, что с экономической точки зрения риск представляет собой возможность совершения события, которое может повлечь за собой три основных экономических результата: отрицательный (убыток), нулевой (отсутствие предполагаемой прибыли) или положительный (прибыль).</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Профессор Б. Мильнер и профессор Ф. Лиис считают, что риск представляет собой вероятность неблагоприятного исхода, когда компания не получает ожидаемого результата.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Лапуста отмечает, что «под фактором риска в бизнесе понимается причина, движущая сила, способная породить опасность или привести к ущербу, убытку».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содержание приведенных выше определений, можно сформулировать основные отличительные черты понятия «риск». К ним относятся: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экономическая сущность категории «риск»;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риска от социальных, политических и правовых факторов;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неопределенности в финансово-хозяйственной деятельности организации или индивидуального предпринимателя;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или наличие неполной либо недостоверной информации о текущем состоянии самого хозяйствующего субъекта и его внешней среды;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невозможность с абсолютной точностью прогнозировать основные тенденции развития конъюнктуры рынка;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получения прямых убытков в результате проведения конкретной коммерческой операции;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получения нулевого результата коммерческой деятельности, т. е. отсутствие прибыли;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реального, но не безусловного шанса получения положительного результата, т. е. прибыли;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возможности точно определить предполагаемый экономический результат планируемой коммерческой операции.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вышеизложенного можно утверждать, что с точки зрения современного бизнеса риск представляет собой потенциально существующую вероятность потери ресурсов или неполучения доходов.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 непосредственным образом связан с управлением и находится в прямой зависимости от эффективности и обоснованности принимаемых управленческих решений. Ни один руководитель в процессе своей деятельности не в состоянии полностью устранить риск. Это происходит потому, что реальная ситуация практически никогда полностью не соответствует запланированным или заданным параметрам. Поэтому любой менеджер или предприниматель всегда вынужден идти на определенный риск, начиная то или иное дело.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посредством выявления сфер повышенного риска, его </w:t>
      </w:r>
      <w:r>
        <w:rPr>
          <w:rFonts w:ascii="Times New Roman CYR" w:hAnsi="Times New Roman CYR" w:cs="Times New Roman CYR"/>
          <w:sz w:val="28"/>
          <w:szCs w:val="28"/>
        </w:rPr>
        <w:lastRenderedPageBreak/>
        <w:t>количественного измерения и осуществления регулярного контроля можно в ограниченной степени управлять рисками либо осуществлять их профилактику. Это позволяет в значительной степени снизить уровень риска и минимизировать его негативные последствия.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не следует забывать, что риск играет в бизнесе не только отрицательную, но и положительную роль. Общеизвестно, что чем выше уровень риска готовящегося к реализации инновационного проекта, тем выше закладываемый уровень рентабельности привлекаемых инвестиций. Иными словами, вкладывая деньги в рискованные предприятия, бизнесмены могут рассчитывать на более высокий уровень прибыли и рентабельности своих капиталовложений. Кроме того, стремление минимизировать негативные последствия предпринимательских рисков создает объективные предпосылки для возникновения и развития специфических и принципиально новых сфер предпринимательской деятельности, таких как страхование, обеспечение экономической безопасности и т. п.</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бизнесе риск выполняет такие основные функции, как инновационная, регулятивная, защитная и аналитическая.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Инновационную функцию предпринимательский риск выполняет, стимулируя поиск нетрадиционных решений проблем, стоящих перед предпринимателем. Анализ зарубежной литературы показывает, что в международной хозяйственной практике накопился положительный опыт инновационного рискового хозяйствования. Большое количество фирм, компаний добиваются успеха, становятся конкурентоспособными на основе инновационной экономической деятельности, связанной с риском. Рисковые решения приводят к более эффективному производству, от которого выигрывают и предприниматели, и потребители, и общество в целом.</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Регулятивная функция имеет противоречивый характер и выступает в двух </w:t>
      </w:r>
      <w:r>
        <w:rPr>
          <w:rFonts w:ascii="Times New Roman CYR" w:hAnsi="Times New Roman CYR" w:cs="Times New Roman CYR"/>
          <w:sz w:val="28"/>
          <w:szCs w:val="28"/>
        </w:rPr>
        <w:lastRenderedPageBreak/>
        <w:t xml:space="preserve">формах: </w:t>
      </w:r>
      <w:proofErr w:type="gramStart"/>
      <w:r>
        <w:rPr>
          <w:rFonts w:ascii="Times New Roman CYR" w:hAnsi="Times New Roman CYR" w:cs="Times New Roman CYR"/>
          <w:sz w:val="28"/>
          <w:szCs w:val="28"/>
        </w:rPr>
        <w:t>конструктивной</w:t>
      </w:r>
      <w:proofErr w:type="gramEnd"/>
      <w:r>
        <w:rPr>
          <w:rFonts w:ascii="Times New Roman CYR" w:hAnsi="Times New Roman CYR" w:cs="Times New Roman CYR"/>
          <w:sz w:val="28"/>
          <w:szCs w:val="28"/>
        </w:rPr>
        <w:t xml:space="preserve"> и деструктивной. Риск предпринимателя, как правило, ориентирован на получение значимых результатов нетрадиционными способами. Тем самым он позволяет преодолевать консерватизм, догматизм, косность, психологические барьеры, препятствующие перспективным нововведениям. В этом проявляется конструктивная форма регулятивной функции предпринимательского риска.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Конструктивная форма регулятивной функции риска заключается и в том, что способность рисковать - один из путей успешной деятельности предпринимателя. Однако риск может стать проявлением авантюризма, субъективизма, если решение принимается в условиях неполной информации, без должного учета закономерностей развития явления. В этом случае риск выступает в качестве дестабилизирующего фактора. Следовательно, хотя риск и «благородное дело», но не любые решения целесообразно реализовывать на практике, они должны быть обоснованными, иметь взвешенный, разумный характер.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Защитная функция риска проявляется в том, что если для предпринимателя риск - естественное состояние, то нормальным должно быть и терпимое отношение к неудачам. Инициативным, предприимчивым хозяйственникам нужна социальная защита, правовые, политические и экономические гарантии, исключающие в случае неудачи наказание и стимулирующие оправданный риск.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решиться на риск, предприниматель должен быть уверен, что возможная ошибка не может скомпрометировать ни его дело, ни его имидж. Вероятность ошибки следует расценивать как неотъемлемый атрибут самостоятельности, а не как следствие профессиональной несостоятельности. Имеется в виду ошибка, которая оказывается таковой вследствие не оправдавшего себя, хотя и рассчитанного риска.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выделить еще аналитическую функцию предпринимательского </w:t>
      </w:r>
      <w:r>
        <w:rPr>
          <w:rFonts w:ascii="Times New Roman CYR" w:hAnsi="Times New Roman CYR" w:cs="Times New Roman CYR"/>
          <w:sz w:val="28"/>
          <w:szCs w:val="28"/>
        </w:rPr>
        <w:lastRenderedPageBreak/>
        <w:t xml:space="preserve">риска, которая связана с тем, что наличие риска предполагает необходимость выбора одного из возможных вариантов решений,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предприниматель в процессе принятия решения анализирует все возможные альтернативы, выбирая наиболее рентабельные и наименее рисковые. В зависимости от конкретного содержания ситуации риска альтернативность обладает различной степенью сложности и разрешается различными способами. В простых ситуациях, например, при заключении договора поставки сырья, предприниматель опирается, как правило, на интуицию и прошлый опыт. Но при оптимальном решении той или иной сложной производственной задачи, например, принятии решения о вложении инвестиций, необходимо использовать специальные методы анализа.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функции предпринимательского риска, следует еще раз подчеркнуть, что, несмотря на значительный потенциал потерь, который несет в себе риск, он является и источником возможной прибыли. Поэтому основная задача предпринимателя - не отказ от риска вообще, а выборы решений, связанных с риском на основе объективных критериев, а именно: до каких пределов может действовать предприниматель, идя на риск.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вышеизложенное, можно утверждать, что предпринимательский риск с одной стороны представляет собой объективный и неизбежный фактор, всегда сопровождающий любые виды предпринимательской деятельности, а с другой стороны - он может играть не только отрицательную, но и положительную роль, принося дополнительную прибыль и стимулируя развитие принципиально новых сфер бизнеса.</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Основные подходы к классификации рисков</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множество подходов к классификации и систематизации </w:t>
      </w:r>
      <w:r>
        <w:rPr>
          <w:rFonts w:ascii="Times New Roman CYR" w:hAnsi="Times New Roman CYR" w:cs="Times New Roman CYR"/>
          <w:sz w:val="28"/>
          <w:szCs w:val="28"/>
        </w:rPr>
        <w:lastRenderedPageBreak/>
        <w:t xml:space="preserve">рисков. </w:t>
      </w:r>
      <w:proofErr w:type="gramStart"/>
      <w:r>
        <w:rPr>
          <w:rFonts w:ascii="Times New Roman CYR" w:hAnsi="Times New Roman CYR" w:cs="Times New Roman CYR"/>
          <w:sz w:val="28"/>
          <w:szCs w:val="28"/>
        </w:rPr>
        <w:t>Рассмотрим основные из них.</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основная задача предпринимателя - рисковать расчетливо, не переходя ту грань, за которой возможно банкротство фирмы, следует выделять допустимый, критический и катастрофический риски. Допустимый риск - это угроза полной потери прибыли от реализации того или иного проекта или от предпринимательской деятельности в целом. В данном случае потери возможны, но их размер меньше ожидаемой предпринимательской прибыли; таким образом, данный вид предпринимательской деятельности или конкретная сделка, несмотря на вероятность риска, сохраняют свою экономическую целесообразность.</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степень риска, более опасная в сравнении с </w:t>
      </w:r>
      <w:proofErr w:type="gramStart"/>
      <w:r>
        <w:rPr>
          <w:rFonts w:ascii="Times New Roman CYR" w:hAnsi="Times New Roman CYR" w:cs="Times New Roman CYR"/>
          <w:sz w:val="28"/>
          <w:szCs w:val="28"/>
        </w:rPr>
        <w:t>допустимым</w:t>
      </w:r>
      <w:proofErr w:type="gramEnd"/>
      <w:r>
        <w:rPr>
          <w:rFonts w:ascii="Times New Roman CYR" w:hAnsi="Times New Roman CYR" w:cs="Times New Roman CYR"/>
          <w:sz w:val="28"/>
          <w:szCs w:val="28"/>
        </w:rPr>
        <w:t>, - это критический риск. Этот риск связан с опасностью потерь в размере произведенных затрат на осуществление данного вида предпринимательской деятельности или отдельной сделки. При этом критический риск первой степени связан с угрозой получения нулевого дохода, но при возмещении произведенных предпринимателем материальных затрат. Критический риск второй степени связан с возможностью потерь в размере полных издержек в результате осуществления данной предпринимательской деятельности, т. е., вероятны потери намеченной выручки и предпринимателю приходится возмещать затраты за свой счет.</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w:t>
      </w:r>
      <w:proofErr w:type="gramStart"/>
      <w:r>
        <w:rPr>
          <w:rFonts w:ascii="Times New Roman CYR" w:hAnsi="Times New Roman CYR" w:cs="Times New Roman CYR"/>
          <w:sz w:val="28"/>
          <w:szCs w:val="28"/>
        </w:rPr>
        <w:t>катастрофическим</w:t>
      </w:r>
      <w:proofErr w:type="gramEnd"/>
      <w:r>
        <w:rPr>
          <w:rFonts w:ascii="Times New Roman CYR" w:hAnsi="Times New Roman CYR" w:cs="Times New Roman CYR"/>
          <w:sz w:val="28"/>
          <w:szCs w:val="28"/>
        </w:rPr>
        <w:t xml:space="preserve"> понимается риск, который характеризуется опасностью, угрозой потерь в размере, равном или превышающем все имущественное состояние предприятия. Катастрофический риск, как правило, приводит к банкротству предпринимательской фирмы, так как в данном случае возможна потеря не только всех вложенных предпринимателем в определенный вид деятельности или в конкретную сделку средств, но и его имущества. Это характерно для ситуации, когда предпринимательская фирма получала внешние </w:t>
      </w:r>
      <w:r>
        <w:rPr>
          <w:rFonts w:ascii="Times New Roman CYR" w:hAnsi="Times New Roman CYR" w:cs="Times New Roman CYR"/>
          <w:sz w:val="28"/>
          <w:szCs w:val="28"/>
        </w:rPr>
        <w:lastRenderedPageBreak/>
        <w:t>займы под ожидаемую прибыль; при возникновении катастрофического риска предпринимателю приходится возвращать кредиты из личных средств.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правомерности предпринимательского риска могут быть выделены оправданный (правомерный) и неоправданный (неправомерный) риски. Возможно, это наиболее важный для предпринимательского риска элемент классификации, имеющий наибольшее практическое значение. Для разграничения оправданного и неоправданного предпринимательского риска необходимо учесть в первую очередь то обстоятельство, что граница между ними в разных видах предпринимательской деятельности, в разных секторах экономики различна. Так, в области научно-технического прогресса допустимая вероятность получения отрицательного результата на стадии фундаментальных исследований составляет 5-10%, прикладных научных разработок - 80-90%, проектно-конструкторских разработок - 90-95%. Очевидно, что данная область деятельности характеризуется высоким уровнем риска. Вместе с тем существуют отдельные отрасли, например атомная энергетика, где возможность риска вообще не допускается.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предпринимательские риски можно также разделить на две большие группы в соответствии с возможностью страхования: страхуемые и нестрахуемые. Предприниматель может частично переложить риск на другие субъекты экономики, в частности обезопасить себя, осуществив определенные затраты в виде страховых взносов. Таким образом, некоторые виды риска, такие как риск гибели имущества, риск возникновения пожара, аварий и т. п., предприниматель может застраховать.</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Страховой риск - это вероятное событие или совокупность событий, на случай </w:t>
      </w:r>
      <w:proofErr w:type="gramStart"/>
      <w:r>
        <w:rPr>
          <w:rFonts w:ascii="Times New Roman CYR" w:hAnsi="Times New Roman CYR" w:cs="Times New Roman CYR"/>
          <w:sz w:val="28"/>
          <w:szCs w:val="28"/>
        </w:rPr>
        <w:t>наступления</w:t>
      </w:r>
      <w:proofErr w:type="gramEnd"/>
      <w:r>
        <w:rPr>
          <w:rFonts w:ascii="Times New Roman CYR" w:hAnsi="Times New Roman CYR" w:cs="Times New Roman CYR"/>
          <w:sz w:val="28"/>
          <w:szCs w:val="28"/>
        </w:rPr>
        <w:t xml:space="preserve"> которых проводится страхование. В зависимости от источника опасности страховые риски подразделяются на две группы: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связанные с проявлением стихийных сил природы (погодные </w:t>
      </w:r>
      <w:r>
        <w:rPr>
          <w:rFonts w:ascii="Times New Roman CYR" w:hAnsi="Times New Roman CYR" w:cs="Times New Roman CYR"/>
          <w:sz w:val="28"/>
          <w:szCs w:val="28"/>
        </w:rPr>
        <w:lastRenderedPageBreak/>
        <w:t>условия, землетрясения, наводнения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связанные с целенаправленными действиями человека.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рискам, которые целесообразно страховать, относятся: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пожаров и других стихийных бедствий;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автомобильных аварий;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порчи или уничтожения продукции при транспортировке;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ошибок сотрудников фирмы;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передачи сотрудниками фирмы коммерческой информации конкурентам;</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невыполнения обязательств субподрядчиками;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приостановки деловой активности фирмы;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возможной смерти или заболевания руководителя или ведущего сотрудника фирмы.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существует еще одна группа рисков, которые не берутся страховать страховые компании, но при этом именно взятие на себя нестрахуемого риска является потенциальным источником прибыли предпринимателя. Но если потери в результате страхового риска покрываются за счет выплат страховых компаний, то потери в результате нестрахуемого риска возмещаются из собственных средств организации. Основными внутренними источниками покрытия риска являются собственный капитал фирмы, а также специально созданные резервные фонды. Кроме внутренних, есть еще и внешние источники покрытия вероятных потерь: например, за дочерние банки отвечает материнский банк.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выделить еще две большие группы рисков: статистические (простые) и динамические (спекулятивные). Особенность статистических рисков </w:t>
      </w:r>
      <w:r>
        <w:rPr>
          <w:rFonts w:ascii="Times New Roman CYR" w:hAnsi="Times New Roman CYR" w:cs="Times New Roman CYR"/>
          <w:sz w:val="28"/>
          <w:szCs w:val="28"/>
        </w:rPr>
        <w:lastRenderedPageBreak/>
        <w:t>заключается в том, что они практически всегда несут в себе потери для предпринимательской деятельности. При этом потери для предпринимательской фирмы, как правило, означают и потери для общества в целом.</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причиной потерь статистические риски могут далее подразделяться на следующие группы: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негативного действия на активы фирмы стихийных бедствий (огня, воды, землетрясений, ураганов и т. п.);</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преступных действий;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вследствие принятия неблагоприятного законодательства для предпринимательской фирмы (потери связаны с прямым изъятием собственности либо с невозможностью взыскать возмещение с виновника из-за несовершенства законодательства);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вероятные потери в результате угрозы собственности третьих лиц, что приводит к вынужденному прекращению деятельности основного поставщика или потребителя;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вследствие смерти или недееспособности ключевых работников фирмы либо основного собственника предпринимательской фирмы (что связано с трудностью подбора квалифицированных кадров, а также с проблемами передачи прав собственности).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статистического риска динамический риск несет в себе либо потери, либо прибыль для предпринимательской фирмы. Поэтому их можно назвать «спекулятивными». Кроме того, динамические риски, ведущие к убыткам для отдельной фирмы, могут одновременно принести выигрыш для общества в целом. Поэтому динамические риски являются трудными для управления.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Профессор М. М. Максимцев предлагает классифицировать риски по нескольким отличительным признакам. К таким признакам он относит </w:t>
      </w:r>
      <w:r>
        <w:rPr>
          <w:rFonts w:ascii="Times New Roman CYR" w:hAnsi="Times New Roman CYR" w:cs="Times New Roman CYR"/>
          <w:sz w:val="28"/>
          <w:szCs w:val="28"/>
        </w:rPr>
        <w:lastRenderedPageBreak/>
        <w:t>возможный экономический результат, причину возникновения, зависимость от покупательной способности денег, а также влияние инвестиционного климата.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возможного экономического результата выделяют чистые и спекулятивные риски. Чистые риски отражают возможность получения отрицательного или нулевого результата. Спекулятивные риски означают возможность получения как положительного, так и отрицательного эффекта.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причины возникновения риски делятся на природные, экологические, политические, транспортные, производственные и торговые.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рискам, связанным с покупательной способностью денег, относятся инфляционный и валютный риски. Наличие инфляционного риска свидетельствует о том, что полученные доходы в результате инфляции обесцениваются быстрее, чем растут. Валютный риск связан с возможными потерями в результате изменения валютных курсов. Этот вид риска чаще всего сопровождает внешнеторговые операции.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инвестиционных рисков наиболее обширна и включает в себя: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структурный риск - риск ухудшения конъюнктуры рынка в целом, не связанный с конкретными видами предпринимательской деятельности;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системный риск - риск потерь из-за неправильного выбора объекта инвестирования;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кредитный риск - риск того, что заемщик окажется не в состоянии выполнить свои обязательства;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риск - связан с экономическим, политическим и социальным положением отдельных административных или географических регионов;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отраслевой риск - связан со спецификой функционирования отдельных отраслей народного хозяйства;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риск - риск потерь, связанных с неудачной реализацией новых проектов.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Подход к классификации рисков, предложенный профессором Максимцовым, представляется достаточно интересным и позволяет систематизировать большую часть предпринимательских рисков. Однако следует отметить его чрезмерную разветвленность и сложность, которые усложняют процесс классификации конкретных видов риска и оценку их места в системе управления организацией.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упорядоченной представляется классификация рисков, предложенная профессором Б. Мильнером и профессором Ф. Лисом.</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Всю совокупность хозяйственных риском они предлагают разделить на две основные группы. Причем первую группу образуют внешние риски, т. е. риски, возникающие во внешней среде организации. Ко второй группе относятся внутренние риски, соответственно возникающие во внутриорганизационной среде.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внешних рисков выделяют:</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 - связаны с политической обстановкой в стране и деятельностью органов государственной власти (революция, военные действия, национализация частной собственности, конфискация имущества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законодательные - изменение действующих норм с выходом новых законодательных и нормативных актов, например, ухудшающих положение компании (введение новых налогов, отмена налоговых льгот, повышение налоговых ставок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природные - связаны с возможными стихийными бедствиями и загрязнением окружающей среды (наводнения, пожары, землетрясения и т. п.);</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региональные - обусловлены состоянием отдельных регионов, их законодательством и т. д.;</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отраслевые - зависят от тенденций развития отрасли;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макроэкономические</w:t>
      </w:r>
      <w:proofErr w:type="gramEnd"/>
      <w:r>
        <w:rPr>
          <w:rFonts w:ascii="Times New Roman CYR" w:hAnsi="Times New Roman CYR" w:cs="Times New Roman CYR"/>
          <w:sz w:val="28"/>
          <w:szCs w:val="28"/>
        </w:rPr>
        <w:t xml:space="preserve"> - обусловлены развитием экономических процессов в </w:t>
      </w:r>
      <w:r>
        <w:rPr>
          <w:rFonts w:ascii="Times New Roman CYR" w:hAnsi="Times New Roman CYR" w:cs="Times New Roman CYR"/>
          <w:sz w:val="28"/>
          <w:szCs w:val="28"/>
        </w:rPr>
        <w:lastRenderedPageBreak/>
        <w:t>стране и в мире в целом. В свою очередь, макроэкономические риски включают инфляционные (дефляционные), валютные, процентные и структурные риски.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риски подразделяются на три вида: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связанные с особенностями технологического процесса на конкретном предприятии, уровнем квалификации работников, организацией поставок сырья и материалов и осуществлением транспортных перевозок;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инвестиционные, несущие потенциальную угрозу неполучения запланированного результата;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коммерческие, обусловленные обычно неправильно проведенными маркетинговыми исследованиями, в результате которых компания не может реализовать весь объем произведенной продукции, недооценкой конкурентов на товарном рынке, ошибочной ценовой политикой и др.</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классификации рисков профессора Б. Мильнера и профессора Ф. Лиса представляется наиболее оптимальной и удобной. Однако она имеет один недостаток, требующий исправления. В рамках указанной системы распределение рисков на внешние и внутренние не в полной мере соответствует современным представлениям о внешней и внутренней среде организации.</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рыночных отношений проблема оценки риска финансово-хозяйственной деятельности предприятий приобретает самостоятельное теоретическое и прикладное значение как важная составная часть теории и практики управления.</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Предприятиям следует не избегать риска, а уметь управлять им. Одно из главных правил финансово-хозяйственной деятельности гласит: «Не избегать риска, а предвидеть его, стремясь снизить до возможно более низкого уровня».</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риском следует понимать следствие действия либо бездействия, в результате которого существует реальная возможность получения неопределенных результатов различного характера, как положительно, так и </w:t>
      </w:r>
      <w:r>
        <w:rPr>
          <w:rFonts w:ascii="Times New Roman CYR" w:hAnsi="Times New Roman CYR" w:cs="Times New Roman CYR"/>
          <w:sz w:val="28"/>
          <w:szCs w:val="28"/>
        </w:rPr>
        <w:lastRenderedPageBreak/>
        <w:t xml:space="preserve">отрицательно влияющих на финансово-хозяйственную деятельность предприятия.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следующая классификация рисков, которую можно применять при анализе финансово-хозяйственной деятельности. Требования к классификации следующие: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в данной классификации не должно быть видов и подвидов риска, то есть нельзя группировать риски в определенные группы. Это может быть только «виртуальным» объединением. Это объясняется тем, что при объединении рисков в определенные группы может произойти «размывание» риска, то есть уменьшение значимости риска, и, как следствие того, неправильное исследование и оценка.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каждый риск должен определяться и оцениваться отдельно, и чем точнее определяется риск, тем легче его оценить.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предлагаемая классификация не является жесткой. Каждый руководитель при осуществлении финансово-хозяйственной деятельности может сам добавлять виды рисков.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классификация рисков показана на рисунке 1.</w:t>
      </w:r>
    </w:p>
    <w:p w:rsidR="00312499" w:rsidRDefault="00312499">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1B7E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41900" cy="28575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0" cy="2857500"/>
                    </a:xfrm>
                    <a:prstGeom prst="rect">
                      <a:avLst/>
                    </a:prstGeom>
                    <a:noFill/>
                    <a:ln>
                      <a:noFill/>
                    </a:ln>
                  </pic:spPr>
                </pic:pic>
              </a:graphicData>
            </a:graphic>
          </wp:inline>
        </w:drawing>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1 - Классификация рисков в управлении</w:t>
      </w:r>
    </w:p>
    <w:p w:rsidR="00312499" w:rsidRPr="001B7EBC"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Региональный</w:t>
      </w:r>
      <w:proofErr w:type="gramEnd"/>
      <w:r>
        <w:rPr>
          <w:rFonts w:ascii="Times New Roman CYR" w:hAnsi="Times New Roman CYR" w:cs="Times New Roman CYR"/>
          <w:sz w:val="28"/>
          <w:szCs w:val="28"/>
        </w:rPr>
        <w:t xml:space="preserve"> - характеризует особенности региона, в котором планируется или уже осуществляется финансово-хозяйственная деятельность предприятия.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Природно-естественный</w:t>
      </w:r>
      <w:proofErr w:type="gramEnd"/>
      <w:r>
        <w:rPr>
          <w:rFonts w:ascii="Times New Roman CYR" w:hAnsi="Times New Roman CYR" w:cs="Times New Roman CYR"/>
          <w:sz w:val="28"/>
          <w:szCs w:val="28"/>
        </w:rPr>
        <w:t xml:space="preserve"> - обусловлен негативным влиянием стихийных сил природы.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Политический - характеризует возможность изменения общественно-политического климата в стране и регионе, а так же перспективы развития.</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Законодательный</w:t>
      </w:r>
      <w:proofErr w:type="gramEnd"/>
      <w:r>
        <w:rPr>
          <w:rFonts w:ascii="Times New Roman CYR" w:hAnsi="Times New Roman CYR" w:cs="Times New Roman CYR"/>
          <w:sz w:val="28"/>
          <w:szCs w:val="28"/>
        </w:rPr>
        <w:t xml:space="preserve"> - обусловлен возможностью резкого изменения различных законодательных актов, влияющих на финансово-хозяйственную деятельность предприятия.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Транспортный</w:t>
      </w:r>
      <w:proofErr w:type="gramEnd"/>
      <w:r>
        <w:rPr>
          <w:rFonts w:ascii="Times New Roman CYR" w:hAnsi="Times New Roman CYR" w:cs="Times New Roman CYR"/>
          <w:sz w:val="28"/>
          <w:szCs w:val="28"/>
        </w:rPr>
        <w:t xml:space="preserve"> - характеризует вероятность потери активов (имущества, оборудования и т. п.) при перевозке или транспортировке.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Организационный</w:t>
      </w:r>
      <w:proofErr w:type="gramEnd"/>
      <w:r>
        <w:rPr>
          <w:rFonts w:ascii="Times New Roman CYR" w:hAnsi="Times New Roman CYR" w:cs="Times New Roman CYR"/>
          <w:sz w:val="28"/>
          <w:szCs w:val="28"/>
        </w:rPr>
        <w:t xml:space="preserve"> - обусловлен внутренними факторами, происходящими в внутри компании. Такими факторами могут быть стратегия фирмы, принципы деятельности, ресурсы и их использование, качество и уровень использования менеджмента и маркетинга.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Имущественный</w:t>
      </w:r>
      <w:proofErr w:type="gramEnd"/>
      <w:r>
        <w:rPr>
          <w:rFonts w:ascii="Times New Roman CYR" w:hAnsi="Times New Roman CYR" w:cs="Times New Roman CYR"/>
          <w:sz w:val="28"/>
          <w:szCs w:val="28"/>
        </w:rPr>
        <w:t xml:space="preserve"> - характеризует степень вероятности потери имущества вследствие кражи, диверсии, халатности и т. п.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Личностный - возникает в том случае, когда от конкретного человека, его деловых и моральных качеств зависят конечные результаты финансово-хозяйственной деятельности. Особенно актуален данный вид риска при принятии серьезных решений при заключении контрактов, выполнении специальных заданий, при подборе руководителя и формировании рабочих групп.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Маркетинговый - характеризует условия рынка (спрос, предложение, </w:t>
      </w:r>
      <w:r>
        <w:rPr>
          <w:rFonts w:ascii="Times New Roman CYR" w:hAnsi="Times New Roman CYR" w:cs="Times New Roman CYR"/>
          <w:sz w:val="28"/>
          <w:szCs w:val="28"/>
        </w:rPr>
        <w:lastRenderedPageBreak/>
        <w:t xml:space="preserve">цены), в котором осуществляется финансово-хозяйственная деятельность оператора, а так же процесс реализации услуг мобильной связи.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Производственный</w:t>
      </w:r>
      <w:proofErr w:type="gramEnd"/>
      <w:r>
        <w:rPr>
          <w:rFonts w:ascii="Times New Roman CYR" w:hAnsi="Times New Roman CYR" w:cs="Times New Roman CYR"/>
          <w:sz w:val="28"/>
          <w:szCs w:val="28"/>
        </w:rPr>
        <w:t xml:space="preserve"> - обусловлен освоением новой техники, технологии и осуществлением производственной деятельности.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Расчетный</w:t>
      </w:r>
      <w:proofErr w:type="gramEnd"/>
      <w:r>
        <w:rPr>
          <w:rFonts w:ascii="Times New Roman CYR" w:hAnsi="Times New Roman CYR" w:cs="Times New Roman CYR"/>
          <w:sz w:val="28"/>
          <w:szCs w:val="28"/>
        </w:rPr>
        <w:t xml:space="preserve"> - характеризует вероятность финансовых потерь в результате неправильно выбранного момента, формы и срока платежа.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Инвестиционный</w:t>
      </w:r>
      <w:proofErr w:type="gramEnd"/>
      <w:r>
        <w:rPr>
          <w:rFonts w:ascii="Times New Roman CYR" w:hAnsi="Times New Roman CYR" w:cs="Times New Roman CYR"/>
          <w:sz w:val="28"/>
          <w:szCs w:val="28"/>
        </w:rPr>
        <w:t xml:space="preserve"> - обусловлен выбором вложения капитала с целью получения экономической выгоды в течение некоторого промежутка времени.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Валютный</w:t>
      </w:r>
      <w:proofErr w:type="gramEnd"/>
      <w:r>
        <w:rPr>
          <w:rFonts w:ascii="Times New Roman CYR" w:hAnsi="Times New Roman CYR" w:cs="Times New Roman CYR"/>
          <w:sz w:val="28"/>
          <w:szCs w:val="28"/>
        </w:rPr>
        <w:t xml:space="preserve"> - характеризует влияние изменения курса валют на финансово-хозяйственную деятельность оператора.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Кредитный</w:t>
      </w:r>
      <w:proofErr w:type="gramEnd"/>
      <w:r>
        <w:rPr>
          <w:rFonts w:ascii="Times New Roman CYR" w:hAnsi="Times New Roman CYR" w:cs="Times New Roman CYR"/>
          <w:sz w:val="28"/>
          <w:szCs w:val="28"/>
        </w:rPr>
        <w:t xml:space="preserve"> - характеризует обобщающее понятие всех рисков, связанных с процессом оценки заемщика.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Финансовый - характеризует анализ финансово-хозяйственной деятельности оператора на основе данных бухгалтерской отчетности.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рисков.</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предлагаемой методики определения степени риска является систематизация и разработка комплексного подхода к определению степени риска, влияющего на финансово-хозяйственную деятельность предприятия.</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и обработка информации.</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 это совокупность новых сведений об окружающем нас мире.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исследователи рисков не уделяют должного внимания оценке качества информации, с помощью которой они оценивают риск.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характеризующие качество информации должны быть следующими: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достоверность (корректность) информации - мера приближенности информации к первоисточнику или точность передачи информации;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объективность информации - мера отражения информацией реальности;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однозначность;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информации - количество передаточных звеньев между первоисточником и конечным пользователем;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полнота информации - отражение исчерпывающего характера соответствия полученных сведений целям сбора;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релевантность - степень приближения информации к существу вопроса или степень соответствия информации поставленной задаче;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информации (значимость) - важность информации для оценки риска;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информации.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Источники и методы получения информации: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документированная информация - наиболее ценный вид получения информации;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пресса и печатные издания - традиционно наиболее емкий и широко используемый метод получения информации;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операторов партнеров;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косвенных признаков (метод сопроцессов). Ни один процесс не протекает в вакууме, в отрыве от окружения. Это приводит к тому, что всегда его будут сопровождать некоторые самостоятельные процессы, проявления которых можно обнаружить;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агентурные методы - платное систематическое выполнение человеком заданий в ваших интересах.</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Качественная оценка рисков подразумевает: выявление рисков, присущих реализации предполагаемого решения; определение количественной структуры рисков; выявление наиболее рискоопасных областей в разработанном алгоритме принимаемого решения.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основу количественной оценки рисков предлагается положить методику, применяемую при проведен</w:t>
      </w:r>
      <w:proofErr w:type="gramStart"/>
      <w:r>
        <w:rPr>
          <w:rFonts w:ascii="Times New Roman CYR" w:hAnsi="Times New Roman CYR" w:cs="Times New Roman CYR"/>
          <w:sz w:val="28"/>
          <w:szCs w:val="28"/>
        </w:rPr>
        <w:t>ии ау</w:t>
      </w:r>
      <w:proofErr w:type="gramEnd"/>
      <w:r>
        <w:rPr>
          <w:rFonts w:ascii="Times New Roman CYR" w:hAnsi="Times New Roman CYR" w:cs="Times New Roman CYR"/>
          <w:sz w:val="28"/>
          <w:szCs w:val="28"/>
        </w:rPr>
        <w:t xml:space="preserve">диторских проверок, а именно, оценку рисков по контрольным точкам финансово-хозяйственной деятельности. Использование данного метода, а так же результаты качественного анализа позволяют проводить комплексную оценку рисков финансово-хозяйственной деятельности предприятий.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Количественная оценка рисков проводится на основе данных, полученных при качественной оценке рисков финансово-хозяйственной деятельности, то есть оцениваться будут только те риски, которые присутствуют при осуществлении конкретной операции алгоритма принятия решения.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решения является заключительной и самой ответственной процедурой в оценке рисков.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решения состоит из трех этапов: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 предварительное принятие решения.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Предварительное принятие решения производится на основе среднеарифметического значения отдельного вида риска и качества информации раздельно по каждой операции алгоритма принятия решения.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 анализ критических значений.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этом этапе оценки проводится анализ тех составляющих риска, значения которых превышают критическую величину (в настоящей работе данная величина равна 0.8). Необходимость данного действия состоит в выявлении и выделении тех составляющих, вероятность риска для которых очень велика, что может привести к потере всех вложенных средств и банкротству предприятия.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 принятие окончательного решения. </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окончательного решения производится на основе результатов предварительного решения и анализа критических значений.</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в условиях рыночных отношений проблема оценки риска финансово-хозяйственной деятельности предприятий приобретает самостоятельное теоретическое и прикладное значение как важная составная часть теории и практики управления. Предприятиям следует не избегать риска, а уметь управлять им. Под риском следует понимать следствие действия либо бездействия, в результате которого существует реальная возможность получения неопределенных результатов различного характера, как положительно, так и отрицательно влияющих на финансово-хозяйственную деятельность предприятия.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1.4 Возможные причины возникновения рисков</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рисков - это условия и факторы, которые таят в себе и при определенных условиях сами по себе либо в различной совокупности обнаруживают враждебные намерения, вредоносные свойства, деструктивную природу. По своему генезису они имеют естественно-природное, техногенное и социальное происхождение.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вдаваясь в подробный анализ и рассмотрение причин возникновения риска, следует отметить, что, во-первых, факторов риска, опасностей, угроз и других деструктивных обстоятельств, которые могут повлиять на результаты финансово-хозяйственной деятельности предприятия, бесконечное множество; во-вторых, в зависимости от условий развития бизнеса значимость тех или иных факторов может измениться; в-третьих, все факторы риска, опасности и угрозы могут быть сгруппированы по различным классификационным признакам. </w:t>
      </w:r>
      <w:proofErr w:type="gramStart"/>
      <w:r>
        <w:rPr>
          <w:rFonts w:ascii="Times New Roman CYR" w:hAnsi="Times New Roman CYR" w:cs="Times New Roman CYR"/>
          <w:sz w:val="28"/>
          <w:szCs w:val="28"/>
        </w:rPr>
        <w:t>Так, в зависимости от возможности их прогнозирования следует выделить те опасности или угрозы, которые можно предвидеть (т. е. предсказуемые), и те, которые трудно предусмотреть (т. е. непредсказуемые).</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первым относятся те, которые, как правило, возникают в определенных условиях, известны из опыта хозяйственной деятельности, своевременно выявлены и обобщены экономической наукой.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Непредсказуемые возникают внезапно, неожиданно. </w:t>
      </w:r>
      <w:proofErr w:type="gramStart"/>
      <w:r>
        <w:rPr>
          <w:rFonts w:ascii="Times New Roman CYR" w:hAnsi="Times New Roman CYR" w:cs="Times New Roman CYR"/>
          <w:sz w:val="28"/>
          <w:szCs w:val="28"/>
        </w:rPr>
        <w:t>Они связаны, как правило, с непредвиденными действиями конкурентов, партнеров, с изменением правового поля, деформацией социально-экономической или политической ситуации, форс-мажорными обстоятельствами (аварии, стихийные бедствия) и т. д. В этой ситуации задача предпринимателя и менеджеров различных уровней своевременно обнаружить эти опасности или угрозы и ослабить их негативные действия.</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Опасности и угрозы экономической безопасности предприятия в зависимости от источника возникновения делят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объективные и субъективные. Объективные возникают без участия и помимо воли предприятия или его служащих, независимо от принятых решений, действий менеджера. Это состояние финансовой конъюнктуры, научные открытия, форс-мажорные обстоятельства и т. д. Их необходимо распознавать и обязательно учитывать в управленческих решениях. </w:t>
      </w:r>
      <w:proofErr w:type="gramStart"/>
      <w:r>
        <w:rPr>
          <w:rFonts w:ascii="Times New Roman CYR" w:hAnsi="Times New Roman CYR" w:cs="Times New Roman CYR"/>
          <w:sz w:val="28"/>
          <w:szCs w:val="28"/>
        </w:rPr>
        <w:t>Субъективные</w:t>
      </w:r>
      <w:proofErr w:type="gramEnd"/>
      <w:r>
        <w:rPr>
          <w:rFonts w:ascii="Times New Roman CYR" w:hAnsi="Times New Roman CYR" w:cs="Times New Roman CYR"/>
          <w:sz w:val="28"/>
          <w:szCs w:val="28"/>
        </w:rPr>
        <w:t xml:space="preserve"> порождены умышленными или неумышленными действиями людей, различных органов и организаций, в том числе государственных и международных предприятий конкурентов. Поэтому их предотвращение во многом связано с воздействием на субъекты экономических отношений.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возможности предотвращения выделяют факторы форс-мажорные и не форс-мажорные. Первые отличаются непреодолимостью воздействия (войны, катастрофы, чрезвычайные бедствия, которые заставляют решать и действовать вопреки намерению). Вторые могут быть предотвращены своевременными и правильными действиями.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 вероятности наступления все деструктивные факторы (появление зоны риска, вызов, опасность, угроза) можно разделить на явные, т. е. реально существующие, видимые и латентные, т. е. скрытые, тщательно замаскированные, трудно обнаруживаемые.</w:t>
      </w:r>
      <w:proofErr w:type="gramEnd"/>
      <w:r>
        <w:rPr>
          <w:rFonts w:ascii="Times New Roman CYR" w:hAnsi="Times New Roman CYR" w:cs="Times New Roman CYR"/>
          <w:sz w:val="28"/>
          <w:szCs w:val="28"/>
        </w:rPr>
        <w:t xml:space="preserve"> Они могут проявиться внезапно. Поэтому их отражение потребует принятия срочных мер, дополнительных усилий и средств.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Опасности и угрозы могут классифицироваться и по объекту посягательства: персоналу, имуществу, технике, информации, технологиям, деловому реноме и т. д.</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природе их возникновения можно выделить политические, экономические, техногенные, правовые, криминальные, экологические, </w:t>
      </w:r>
      <w:r>
        <w:rPr>
          <w:rFonts w:ascii="Times New Roman CYR" w:hAnsi="Times New Roman CYR" w:cs="Times New Roman CYR"/>
          <w:sz w:val="28"/>
          <w:szCs w:val="28"/>
        </w:rPr>
        <w:lastRenderedPageBreak/>
        <w:t>конкурентные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величины потерь или ущерба, к которому может привести действие деструктивного фактора, опасности и угрозы можно подразделить на вызывающие трудности, значительные и катастрофические. А по степени вероятности - невероятные, маловероятные, вероятные, весьма вероятные, вполне вероятные.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 Виханский разделяет угрозы по признаку их отдаленности по времени: непосредственная, близкая (до 1 года), далекая (свыше 1 года) и в пространстве (на территории предприятия; прилегающей к предприятию; на территории региона, страны; на зарубежной территории).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Наибольшее распространение в науке получило выделение опасностей и угроз в зависимости от сферы их возникновения. По этому признаку различают </w:t>
      </w:r>
      <w:proofErr w:type="gramStart"/>
      <w:r>
        <w:rPr>
          <w:rFonts w:ascii="Times New Roman CYR" w:hAnsi="Times New Roman CYR" w:cs="Times New Roman CYR"/>
          <w:sz w:val="28"/>
          <w:szCs w:val="28"/>
        </w:rPr>
        <w:t>внутренние</w:t>
      </w:r>
      <w:proofErr w:type="gramEnd"/>
      <w:r>
        <w:rPr>
          <w:rFonts w:ascii="Times New Roman CYR" w:hAnsi="Times New Roman CYR" w:cs="Times New Roman CYR"/>
          <w:sz w:val="28"/>
          <w:szCs w:val="28"/>
        </w:rPr>
        <w:t xml:space="preserve"> и внешние.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опасности и угрозы возникают за пределами предприятия. Они не связаны с его производственной деятельностью. Как правило, это такое изменение окружающей среды, которое может нанести предприятию ущерб.</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факторы связаны с хозяйственной деятельностью предприятия и его персонала. Они обусловлены теми процессами, которые возникают в ходе производства и реализации продукции и могут оказать свое влияние на результаты бизнеса. Наиболее значительными из них являются: качество планирования и принятия решения, соблюдение технологии, организация труда и работа с персоналом, финансовая политика предприятия, дисциплина и многие другие.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внутренних, так и внешних факторов риска огромное количество. Это </w:t>
      </w:r>
      <w:proofErr w:type="gramStart"/>
      <w:r>
        <w:rPr>
          <w:rFonts w:ascii="Times New Roman CYR" w:hAnsi="Times New Roman CYR" w:cs="Times New Roman CYR"/>
          <w:sz w:val="28"/>
          <w:szCs w:val="28"/>
        </w:rPr>
        <w:t>обусловлено</w:t>
      </w:r>
      <w:proofErr w:type="gramEnd"/>
      <w:r>
        <w:rPr>
          <w:rFonts w:ascii="Times New Roman CYR" w:hAnsi="Times New Roman CYR" w:cs="Times New Roman CYR"/>
          <w:sz w:val="28"/>
          <w:szCs w:val="28"/>
        </w:rPr>
        <w:t xml:space="preserve"> прежде всего тем разнообразием связей и отношений, в которые обязательно вступает предприятие. </w:t>
      </w:r>
      <w:proofErr w:type="gramStart"/>
      <w:r>
        <w:rPr>
          <w:rFonts w:ascii="Times New Roman CYR" w:hAnsi="Times New Roman CYR" w:cs="Times New Roman CYR"/>
          <w:sz w:val="28"/>
          <w:szCs w:val="28"/>
        </w:rPr>
        <w:t xml:space="preserve">В ходе материальных, финансовых, информационных, кадровых и других связей происходит обмен, потребление и </w:t>
      </w:r>
      <w:r>
        <w:rPr>
          <w:rFonts w:ascii="Times New Roman CYR" w:hAnsi="Times New Roman CYR" w:cs="Times New Roman CYR"/>
          <w:sz w:val="28"/>
          <w:szCs w:val="28"/>
        </w:rPr>
        <w:lastRenderedPageBreak/>
        <w:t>перемещение сырья, материалов, комплектующих изделий, станков, машин, оборудования, инвестиций, технологий, денежных средств, готовой продукции (товаров и услуг) и т. д. Все эти связи и отношения возникают в конкретных политических, социально-экономических, природно-климатических и других условиях, которые сложились как в масштабах всей страны, так и на уровне определенного конкретного</w:t>
      </w:r>
      <w:proofErr w:type="gramEnd"/>
      <w:r>
        <w:rPr>
          <w:rFonts w:ascii="Times New Roman CYR" w:hAnsi="Times New Roman CYR" w:cs="Times New Roman CYR"/>
          <w:sz w:val="28"/>
          <w:szCs w:val="28"/>
        </w:rPr>
        <w:t xml:space="preserve"> региона. Именно конкретная ситуация в том или ином населенном пункте, регионе, где действует предприятие, может оказать существенное влияние на результаты хозяйственной деятельности.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конкуренции (добросовестной или недобросовестной) любой из потоков может быть прерван или нарушен, следовательно, деятельность предприятия подвергается постоянной опасности. Срыв каналов связи может произойти по одной из следующих причин:</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внезапные изменения окружающей среды, вынуждающие предприятие пересмотреть условия договора (контракта) (изменение цен, налогового законодательства, социально-политической ситуации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более выгодных предложений (более рентабельный договор, более привлекательные условия работы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целевых установок;</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личных отношений между руководителями;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физических условий перемещения товарных, финансовых и трудовых ресурсов (аварии, изменения таможенных условий, возникновение новых границ или региональных отношений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 факторам, влияющим на результаты хозяйственной деятельности, могут быть отнесены: состояние предпринимательской среды, наличие местных сырьевых и энергетических ресурсов, развитие транспортных и других коммуникаций, наполняемость рынка производимой предприятием продукцией, состояние конкурентов, наличие свободных трудовых ресурсов, уровень их </w:t>
      </w:r>
      <w:r>
        <w:rPr>
          <w:rFonts w:ascii="Times New Roman CYR" w:hAnsi="Times New Roman CYR" w:cs="Times New Roman CYR"/>
          <w:sz w:val="28"/>
          <w:szCs w:val="28"/>
        </w:rPr>
        <w:lastRenderedPageBreak/>
        <w:t>профессиональной подготовленности, уровень социальной и политической напряженности, ориентировка населения на производительный труд, уровень жизни населения, его платежеспособность, криминализация хозяйственной жизни (коррумпированность чиновников, рэкет</w:t>
      </w:r>
      <w:proofErr w:type="gramEnd"/>
      <w:r>
        <w:rPr>
          <w:rFonts w:ascii="Times New Roman CYR" w:hAnsi="Times New Roman CYR" w:cs="Times New Roman CYR"/>
          <w:sz w:val="28"/>
          <w:szCs w:val="28"/>
        </w:rPr>
        <w:t>, экономическая преступность) и многие другие.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Все внешние факторы, влияющие на экономическую безопасность предприятия, можно сгруппировать, выделив политические, социально-экономические, экологические, научно-технические и технологические, юридические, природно-климатические, демографические, криминалистические и др.</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политическим факторам, влияющим на результаты хозяйственной деятельности предприятия, </w:t>
      </w:r>
      <w:proofErr w:type="gramStart"/>
      <w:r>
        <w:rPr>
          <w:rFonts w:ascii="Times New Roman CYR" w:hAnsi="Times New Roman CYR" w:cs="Times New Roman CYR"/>
          <w:sz w:val="28"/>
          <w:szCs w:val="28"/>
        </w:rPr>
        <w:t>относится</w:t>
      </w:r>
      <w:proofErr w:type="gramEnd"/>
      <w:r>
        <w:rPr>
          <w:rFonts w:ascii="Times New Roman CYR" w:hAnsi="Times New Roman CYR" w:cs="Times New Roman CYR"/>
          <w:sz w:val="28"/>
          <w:szCs w:val="28"/>
        </w:rPr>
        <w:t xml:space="preserve"> прежде всего политическая ситуация, которая существует в стране и конкретном экономическом регионе. Стабильность политической власти, тот курс, который она проводит на развитие рыночных реформ, поддержку предпринимательства, демократизацию отношений собственности, борьбу с коррупцией и криминализацией хозяйственной жизни, могут оказать существенное влияние на результативность бизнеса. Существенное воздействие на безопасность предпринимательства оказывают и такие обстоятельства, как состояние межнациональных, религиозных, этнополитических, территориальных споров и конфликтов, сепаратистские настроения отдельных руководителей, противоречия между федеральными и региональными органами, особенно по вопросам их компетенции и ответственности, и др.</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успешного развития предпринимательства особую значимость имеют социально-экономические факторы, именно от них во многом зависят правила и условия ведения коммерческой деятельности. К ним можно отнести: состояние денежной эмиссии в стране, а значит и поддержание оптимального уровня </w:t>
      </w:r>
      <w:r>
        <w:rPr>
          <w:rFonts w:ascii="Times New Roman CYR" w:hAnsi="Times New Roman CYR" w:cs="Times New Roman CYR"/>
          <w:sz w:val="28"/>
          <w:szCs w:val="28"/>
        </w:rPr>
        <w:lastRenderedPageBreak/>
        <w:t xml:space="preserve">денежной массы, и обеспечение нормального рода платежей, выплат заработной платы, пенсионных пособий и т. д.; изменение правил валютного обращения; изменение тарифов перевозки; плату за энергоносители, т. е.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естественными монополиями.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Предпринимательская активность во многом зависит от процентных ставок по кредитам Центрального банка РФ, от уровня инфляции, уровня изменения доходов трудящихся и многого другого. Все это напрямую сказывается на состоянии платежеспособного спроса населения, колебании цен на сырье, материалы, комплектующие, энергоносители, состоянии финансового рынка (отток или приток финансовых ресурсов), на поведении коммерческих банков, расширении или сокращении сфер предпринимательства. Для предприятий, связанных с импортом и экспортом, существенным фактором риска является курс рубля по отношению к твердым валютам и т.п.</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на деятельность предприятий все большее влияние оказывает экологический фактор. На начальном этапе управления природопользованием государство применяло систему прямых административных запретов, ограничивающих развитие экологически вредных производств, а в некоторых случаях предусматривающих их закрытие. В последующем на смену административным запретам приходят механизмы охраны окружающей среды, базирующиеся на принципах экологического нормирования и платного природопользования. На основе предельно допустимых норм выброса или сброса загрязняющих веществ назначается плата за природопользование. Всякое нарушение этих норм карается штрафами.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Научно-технические и технологические факторы вынуждают предприятие постоянно следить за достижениями научно-технического прогресса, разработками новых технологий, материалов, внедрением ноу-хау в производство, управление и организацию труда, реализацию продукции и т. д.</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важнейшей чертой предпринимательства является наличие риска, как на стадии создания собственного дела, так и в течение дальнейшего функционирования предприятия. Это означает, что действия участников предпринимательства в условиях сложившихся рыночных отношений, конкуренции, функционирования всей системы экономических законов не могут быть с полной определенностью рассчитаны и осуществлены. Многие решения в предпринимательской деятельности приходится принимать в условиях неопределенности, когда необходимо выбирать направление действий из нескольких возможных вариантов, осуществление которых сложно предсказать.</w:t>
      </w:r>
    </w:p>
    <w:p w:rsidR="00312499" w:rsidRDefault="002A055D">
      <w:pPr>
        <w:widowControl w:val="0"/>
        <w:tabs>
          <w:tab w:val="left" w:pos="5220"/>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р</w:t>
      </w:r>
      <w:proofErr w:type="gramEnd"/>
      <w:r>
        <w:rPr>
          <w:rFonts w:ascii="Times New Roman CYR" w:hAnsi="Times New Roman CYR" w:cs="Times New Roman CYR"/>
          <w:color w:val="FFFFFF"/>
          <w:sz w:val="28"/>
          <w:szCs w:val="28"/>
        </w:rPr>
        <w:t>иск менеджмент управление</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управления рисками в ООО «Кия-1»</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w:t>
      </w:r>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«Кия-1» - это торговое предприятие, специализирующееся на оптовой торговле продуктами питания. Свою деятельность ООО «Кия-1» осуществляет посредством организации оптовой и мелкооптовой торговли со склада. Данное предприятие обладает обособленным имуществом, находящимся в собственности, имеет самостоятельный баланс, расчетный счет, круглую печать и иные реквизиты.</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адрес ООО «Кия-1» - г. Новокузнецк, ул. Орджоникидзе 33-138.</w:t>
      </w:r>
    </w:p>
    <w:p w:rsidR="00312499" w:rsidRDefault="002A055D">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имеет складские и административные помещения:</w:t>
      </w:r>
    </w:p>
    <w:p w:rsidR="00312499" w:rsidRDefault="002A055D">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площадь складов - 1340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312499" w:rsidRDefault="002A055D">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площадь офисных помещений - 345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w:t>
      </w:r>
    </w:p>
    <w:p w:rsidR="00312499" w:rsidRDefault="002A055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Оптовая база ООО «Кия-1» реализует продукты питания, такие как: вода (газированные сладкие напитки, квас, минеральная и чистая вода), кондитерские изделия (батончики, вафли, камель, леденцы, жевательные конфеты, драже, мармелад, шоколад, конфеты, шоколадные изделия, печенье, пирожные, торты, рулеты), консервированная продукция (кетчупы и соусы, консервированные грибы, консервы рыбные и из морепродуктов, майонезы, молочные консервы, мясные консервы, овощные консервы, оливки и маслины, плодовоовощные консервы</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корма для животных, кофе, макаронные изделия, пищевые жиры (маргарин, масло сливочное, растительные масла), продукты быстрого приготовления, сок, специи и приправы (бульоны, приправы), чай, чипсы, молочная продукция (сухое молоко, сливки, сыры), пиво, сигареты и др. оптом и в розницу.</w:t>
      </w:r>
      <w:proofErr w:type="gramEnd"/>
    </w:p>
    <w:p w:rsidR="00312499" w:rsidRDefault="002A055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Основными потребителями продукции компании являются такие крупные сети, как «Мария-Ра», «Холодильник», «Чибис», «Поляна», «Центрпродсервис», «Гастрономыч», «Система магазинов Радость» (г. Прокопьевск), «Винта» (г. Прокопьевск) и т.д.</w:t>
      </w:r>
      <w:proofErr w:type="gramEnd"/>
    </w:p>
    <w:p w:rsidR="00312499" w:rsidRDefault="002A055D">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всеми поставщиками заключены долгосрочные договоры поставки. Товар доставляется в Новокузнецк либо собственным транспортом компании, либо транспортной компанией.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представлены основные показатели финансово-хозяйственной деятельности ООО «Кия-1» в 2008-2010гг.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Положительным моментом является рост рентабельности предприятия.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представлена динамика основных экономических показателей предприятия в 2008-2010гг.</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доходности предприятия являются показатели прибыли и рентабельности предприятия. Их динамика в 2008-2010гг. представлена в Приложении В.</w:t>
      </w:r>
    </w:p>
    <w:p w:rsidR="00312499" w:rsidRDefault="002A055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показатели доходности имеют положительные значения, что говорит о том, что предприятие рентабельно и прибыльно. Динамика роста показателей доходности говорит о том, что предприятие улучшает свое финансовое положение.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предприятия представлена в Приложении Г.</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ООО «Кия-1» относится к </w:t>
      </w:r>
      <w:proofErr w:type="gramStart"/>
      <w:r>
        <w:rPr>
          <w:rFonts w:ascii="Times New Roman CYR" w:hAnsi="Times New Roman CYR" w:cs="Times New Roman CYR"/>
          <w:sz w:val="28"/>
          <w:szCs w:val="28"/>
        </w:rPr>
        <w:t>линейно-функциональной</w:t>
      </w:r>
      <w:proofErr w:type="gramEnd"/>
      <w:r>
        <w:rPr>
          <w:rFonts w:ascii="Times New Roman CYR" w:hAnsi="Times New Roman CYR" w:cs="Times New Roman CYR"/>
          <w:sz w:val="28"/>
          <w:szCs w:val="28"/>
        </w:rPr>
        <w:t xml:space="preserve">. Линейно-функциональная структура управления представляет собой наиболее распространенный вид иерархической структуры. Ее основу составляют так называемый «шахтный» принцип построения и специализация управленческого процесса по функциональным подсистемам организации (маркетинг, производство, исследования и разработки, финансы, персонал и пр.). По каждой из них формируется иерархия служб, </w:t>
      </w:r>
      <w:r>
        <w:rPr>
          <w:rFonts w:ascii="Times New Roman CYR" w:hAnsi="Times New Roman CYR" w:cs="Times New Roman CYR"/>
          <w:sz w:val="28"/>
          <w:szCs w:val="28"/>
        </w:rPr>
        <w:lastRenderedPageBreak/>
        <w:t>пронизывающая всю организацию сверху донизу.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работы каждой службы аппарата управления организацией оцениваются показателями, характеризующими выполнение ими своих целей и задач. Соответственно строится и система материального поощрения, </w:t>
      </w:r>
      <w:proofErr w:type="gramStart"/>
      <w:r>
        <w:rPr>
          <w:rFonts w:ascii="Times New Roman CYR" w:hAnsi="Times New Roman CYR" w:cs="Times New Roman CYR"/>
          <w:sz w:val="28"/>
          <w:szCs w:val="28"/>
        </w:rPr>
        <w:t>ориентированная</w:t>
      </w:r>
      <w:proofErr w:type="gramEnd"/>
      <w:r>
        <w:rPr>
          <w:rFonts w:ascii="Times New Roman CYR" w:hAnsi="Times New Roman CYR" w:cs="Times New Roman CYR"/>
          <w:sz w:val="28"/>
          <w:szCs w:val="28"/>
        </w:rPr>
        <w:t xml:space="preserve"> прежде всего на достижение высоких показателей каждой службы. За конечный результат в целом отвечает линейный руководитель (руководитель организации), задача которого состоит в том, чтобы все функциональные службы вносили свой вклад в его достижение. Поэтому он много усилий тратит на координацию и принятие решений по продукции и рынкам. Высокие затраты на эту структуру могут компенсироваться за счет повышения экономических результатов.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достоинствам данной системы управления можно отнести: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высокую эффективность деятельности;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централизованный контроль, обеспечивающий единство решений задач организации;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использования мощностей и потенциала специалистов по функциям;</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экономичности, достигаемой за счет однородности работ.</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недостаткам данной системы можно отнести: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возникновение проблем межфункциональной координации;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общие результаты работы только на высшем уровне;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недостаточная реакция на изменения рынка, достижения в области науки и техники;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времени принятия решений из-за необходимости их согласований.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сотрудников 2010 году на предприятии составила 52 человека.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Существенным недостатком в работе оптовой баз</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«Кия-1» является то, что большинство персонала не имеют специальных знаний и специального экономического образования. Более того, ни один из них не получил необходимых знаний и навыков с использованием системы повышения квалификации.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главе организации находится директор, которому подчиняются все подразделения, а именно: отдел кадров, финансовый отдел, коммерческий отдел, отдел продаж, отдел логистики.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руководство деятельностью ООО «Кия-1» ведет директор. Он самостоятельно решает вопросы деятельности организации, действует от его имени, имеет право подписи и распоряжается имуществом организации, осуществляет прием и увольнение работников.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несет материальную и административную ответственность за достоверность данных бухгалтерского и статистического отчетов.</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движения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w:t>
      </w:r>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организации представляет собой штатный состав работников, выполняющих различные производственно-хозяйственные функции. Он характеризуется, прежде всего, численностью, структурой, </w:t>
      </w:r>
      <w:proofErr w:type="gramStart"/>
      <w:r>
        <w:rPr>
          <w:rFonts w:ascii="Times New Roman CYR" w:hAnsi="Times New Roman CYR" w:cs="Times New Roman CYR"/>
          <w:sz w:val="28"/>
          <w:szCs w:val="28"/>
        </w:rPr>
        <w:t>рассматриваемую</w:t>
      </w:r>
      <w:proofErr w:type="gramEnd"/>
      <w:r>
        <w:rPr>
          <w:rFonts w:ascii="Times New Roman CYR" w:hAnsi="Times New Roman CYR" w:cs="Times New Roman CYR"/>
          <w:sz w:val="28"/>
          <w:szCs w:val="28"/>
        </w:rPr>
        <w:t xml:space="preserve"> как в статике, так и в динамике, профессиональной пригодностью, компетентностью.</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 представлена динамика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 по категориям.</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Динамика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 по категориям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0"/>
        <w:gridCol w:w="1386"/>
        <w:gridCol w:w="839"/>
        <w:gridCol w:w="868"/>
        <w:gridCol w:w="1106"/>
        <w:gridCol w:w="1165"/>
      </w:tblGrid>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персонала</w:t>
            </w:r>
          </w:p>
        </w:tc>
        <w:tc>
          <w:tcPr>
            <w:tcW w:w="3093"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 чел.</w:t>
            </w:r>
          </w:p>
        </w:tc>
        <w:tc>
          <w:tcPr>
            <w:tcW w:w="2271" w:type="dxa"/>
            <w:gridSpan w:val="2"/>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чел</w:t>
            </w:r>
          </w:p>
        </w:tc>
      </w:tr>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38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8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86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10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2009/2008</w:t>
            </w:r>
          </w:p>
        </w:tc>
        <w:tc>
          <w:tcPr>
            <w:tcW w:w="116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2010/2009</w:t>
            </w:r>
          </w:p>
        </w:tc>
      </w:tr>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38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6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0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6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138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6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0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6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Торговые и складские работники</w:t>
            </w:r>
          </w:p>
        </w:tc>
        <w:tc>
          <w:tcPr>
            <w:tcW w:w="138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8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86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0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Технический и обслуживающий персонал</w:t>
            </w:r>
          </w:p>
        </w:tc>
        <w:tc>
          <w:tcPr>
            <w:tcW w:w="138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6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0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312499">
        <w:trPr>
          <w:jc w:val="center"/>
        </w:trPr>
        <w:tc>
          <w:tcPr>
            <w:tcW w:w="39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8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8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86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10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таблице, общая численность работников в 2010г. снизилась с 54 до 52 чел. Численность работников категорий «руководители» и «специалисты» не изменилась, несмотря на то, что два работника этой категории уволились, на их место были взяты другие работники. Численность работников категории «торговый персонал» снизилась в отчетном периоде на 1 человека.</w:t>
      </w:r>
    </w:p>
    <w:p w:rsidR="00312499" w:rsidRDefault="002A055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категории «технический и обслуживающий персонал» снизился к концу отчетного периода на 2 чел. </w:t>
      </w:r>
    </w:p>
    <w:p w:rsidR="00312499" w:rsidRDefault="002A055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на предприятия открыто 8 вакантных рабочих мест. В целом можно отметить, что на предприятии количество рабочих мест соответствует штатному расписанию, но из-за нехватки работников, некоторые рабочие места вакантны.</w:t>
      </w:r>
    </w:p>
    <w:p w:rsidR="00312499" w:rsidRPr="001B7EBC" w:rsidRDefault="002A055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 представлена структура персонала по категориям.</w:t>
      </w:r>
    </w:p>
    <w:p w:rsidR="00312499" w:rsidRPr="001B7EBC" w:rsidRDefault="0031249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1B7E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24450" cy="28575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Структура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 по категориям</w:t>
      </w:r>
    </w:p>
    <w:p w:rsidR="00312499" w:rsidRDefault="0031249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 представлено движение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 в </w:t>
      </w:r>
      <w:r>
        <w:rPr>
          <w:rFonts w:ascii="Times New Roman CYR" w:hAnsi="Times New Roman CYR" w:cs="Times New Roman CYR"/>
          <w:sz w:val="28"/>
          <w:szCs w:val="28"/>
        </w:rPr>
        <w:lastRenderedPageBreak/>
        <w:t>2008-2010гг.</w:t>
      </w:r>
    </w:p>
    <w:p w:rsidR="00312499" w:rsidRDefault="0031249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Движение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 в 2008-2010гг.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31"/>
        <w:gridCol w:w="1190"/>
        <w:gridCol w:w="1092"/>
        <w:gridCol w:w="941"/>
      </w:tblGrid>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223"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Принято</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Уволено, всего</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по неуважительным причинам</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 рабочий силы</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 приему, %</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 выбытию, %</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r>
      <w:tr w:rsidR="00312499">
        <w:trPr>
          <w:jc w:val="center"/>
        </w:trPr>
        <w:tc>
          <w:tcPr>
            <w:tcW w:w="613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w:t>
            </w:r>
          </w:p>
        </w:tc>
        <w:tc>
          <w:tcPr>
            <w:tcW w:w="119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109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94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данной таблицы видно, что к концу отчетного периода наблюдается рост коэффициентов по приему и выбытию. Коэффициент по приему в 2010г. увеличился с 16,7% до 19,2%. Динамика коэффициента по выбытию также положительная: к концу отчетного периода наблюдается увеличение до 17,3%.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Положительным моментом кадровой политики руководств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 является снижение коэффициента текучести кадров с 13,2% в начале периода до 11,5% в конце периода. Текучесть кадров в ООО «Кия-1» по сравнению со среднеотраслевыми значениями высокая, но ее снижение к концу периода говорит о том, что руководство предприятием предпринимает шаги для снижения текучести кадров на предприятии.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также высокий оборот рабочей силы, который в отчетном периоде также еще увеличился. Поэтому для предприятия ООО «Кия-1» актуальной является эффективность кадрового потенциала предприятия.</w:t>
      </w:r>
    </w:p>
    <w:p w:rsidR="00312499" w:rsidRPr="001B7EBC"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 представлена динамика коэффициентов движения кадров.</w:t>
      </w:r>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1B7E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51350" cy="25908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2 - Динамика коэффициентов движения персонала</w:t>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кадровый потенциал ООО «Кия-1» состоит из его персонала. В конце 2010г. его численность составляла 52 чел. На предприятии высокий оборот рабочей силы. Коэффициент текучести кадров к концу отчетного периода снизился по сравнению с предыдущими периодами.</w:t>
      </w:r>
    </w:p>
    <w:p w:rsidR="00312499" w:rsidRPr="001B7EBC"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2.3 Анализ внешних факторов, влияющих на деятельность ООО «Кия-1» </w:t>
      </w:r>
    </w:p>
    <w:p w:rsidR="00312499" w:rsidRPr="001B7EBC"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среды является исходным процессом стратегического управления, так как он обеспечивает как базу для определения миссии и целей фирмы, так и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выработку</w:t>
      </w:r>
      <w:proofErr w:type="gramEnd"/>
      <w:r>
        <w:rPr>
          <w:rFonts w:ascii="Times New Roman CYR" w:hAnsi="Times New Roman CYR" w:cs="Times New Roman CYR"/>
          <w:sz w:val="28"/>
          <w:szCs w:val="28"/>
        </w:rPr>
        <w:t xml:space="preserve"> стратегии поведения, позволяющей фирме осуществить свою миссию и достичь своих целей.</w:t>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среды предполагает изучение трех ее составляющих: макроокружения; непосредственного окружения; внутренней среды организации.</w:t>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внешней среды (макро- и непосредственного окружения) направлен на то, чтобы выяснить, на что может рассчитывать фирма, если она успешно поведет работу, и на то, какие осложнения могут ее ждать, если она не сумеет вовремя отвратить негативные выпады, которые может преподнести ей окружение. Анализ макроокружения включает изучение влияния экономики, правового регулирования и управления, политических процессов, природной среды и ресурсов, социальной и культурной составляющих общества, научно-технического и технологического развития общества, инфраструктуры и т.п.</w:t>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Результаты анализа внешней сред</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«Кия-1» представлены в таблице 3.</w:t>
      </w:r>
    </w:p>
    <w:p w:rsidR="00312499"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 Влияние факторов внешней среды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«Кия-1»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0"/>
        <w:gridCol w:w="7334"/>
      </w:tblGrid>
      <w:tr w:rsidR="00312499">
        <w:trPr>
          <w:jc w:val="center"/>
        </w:trPr>
        <w:tc>
          <w:tcPr>
            <w:tcW w:w="20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w:t>
            </w:r>
          </w:p>
        </w:tc>
        <w:tc>
          <w:tcPr>
            <w:tcW w:w="733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r>
      <w:tr w:rsidR="00312499">
        <w:trPr>
          <w:jc w:val="center"/>
        </w:trPr>
        <w:tc>
          <w:tcPr>
            <w:tcW w:w="20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Географическое положение</w:t>
            </w:r>
          </w:p>
        </w:tc>
        <w:tc>
          <w:tcPr>
            <w:tcW w:w="733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«Кия-1» находится в г. Новокузнецке Кемеровской области, расположенной в Западной Сибири</w:t>
            </w:r>
          </w:p>
        </w:tc>
      </w:tr>
      <w:tr w:rsidR="00312499">
        <w:trPr>
          <w:jc w:val="center"/>
        </w:trPr>
        <w:tc>
          <w:tcPr>
            <w:tcW w:w="20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Политическая сфера</w:t>
            </w:r>
          </w:p>
        </w:tc>
        <w:tc>
          <w:tcPr>
            <w:tcW w:w="733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Стабильная</w:t>
            </w:r>
          </w:p>
        </w:tc>
      </w:tr>
      <w:tr w:rsidR="00312499">
        <w:trPr>
          <w:jc w:val="center"/>
        </w:trPr>
        <w:tc>
          <w:tcPr>
            <w:tcW w:w="20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сфера</w:t>
            </w:r>
          </w:p>
        </w:tc>
        <w:tc>
          <w:tcPr>
            <w:tcW w:w="733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Нестабильная</w:t>
            </w:r>
            <w:proofErr w:type="gramEnd"/>
            <w:r>
              <w:rPr>
                <w:rFonts w:ascii="Times New Roman CYR" w:hAnsi="Times New Roman CYR" w:cs="Times New Roman CYR"/>
                <w:sz w:val="20"/>
                <w:szCs w:val="20"/>
              </w:rPr>
              <w:t xml:space="preserve"> - наблюдается рост инфляции, снижение покупательской способности</w:t>
            </w:r>
          </w:p>
        </w:tc>
      </w:tr>
      <w:tr w:rsidR="00312499">
        <w:trPr>
          <w:jc w:val="center"/>
        </w:trPr>
        <w:tc>
          <w:tcPr>
            <w:tcW w:w="20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Местное население</w:t>
            </w:r>
          </w:p>
        </w:tc>
        <w:tc>
          <w:tcPr>
            <w:tcW w:w="733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Спад населения трудоспособного возраста, что ведет к уменьшению потребителей</w:t>
            </w:r>
          </w:p>
        </w:tc>
      </w:tr>
      <w:tr w:rsidR="00312499">
        <w:trPr>
          <w:jc w:val="center"/>
        </w:trPr>
        <w:tc>
          <w:tcPr>
            <w:tcW w:w="20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Технологии</w:t>
            </w:r>
          </w:p>
        </w:tc>
        <w:tc>
          <w:tcPr>
            <w:tcW w:w="733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Положительное влияние технологий на деятельность предприятия повышает эффективность деятельности предприятия</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Оптовой торговлей называется торговля товарами с последующей их перепродажей или профессиональным использованием. Одни товары, реализуемые, например, для целей снабжения производственных предприятий, можно продавать только один раз - предприятием-изготовителем предприятию-потребителю (для профессионального использования). Другие же товары продавать так не представляется возможным или экономически нецелесообразным. Они нуждаются во временных остановках на пути своего движения, в образовании там запасов, требующихся для бесперебойного удовлетворения покупательского спроса на них. Для подобных товаров возникает необходимость повторной продажи (перепродажи). Именно такая необходимость и приводит к созданию в сфере обращения различного рода сбытовых и торговых предприятий как субъектов этих повторных продаж и как звеньев движения товаров от места производства к месту потребления.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посредников-оптовиков </w:t>
      </w:r>
      <w:proofErr w:type="gramStart"/>
      <w:r>
        <w:rPr>
          <w:rFonts w:ascii="Times New Roman CYR" w:hAnsi="Times New Roman CYR" w:cs="Times New Roman CYR"/>
          <w:sz w:val="28"/>
          <w:szCs w:val="28"/>
        </w:rPr>
        <w:t>выгодно</w:t>
      </w:r>
      <w:proofErr w:type="gramEnd"/>
      <w:r>
        <w:rPr>
          <w:rFonts w:ascii="Times New Roman CYR" w:hAnsi="Times New Roman CYR" w:cs="Times New Roman CYR"/>
          <w:sz w:val="28"/>
          <w:szCs w:val="28"/>
        </w:rPr>
        <w:t xml:space="preserve"> прежде всего для производителей товаров, так как в этом случае им приходится иметь дело с ограниченным кругом заинтересованных лиц по реализации своей продукции. Кроме того, обеспечивается широкая доступность товара при движении его непосредственно до конечного потребителя. С помощью </w:t>
      </w:r>
      <w:proofErr w:type="gramStart"/>
      <w:r>
        <w:rPr>
          <w:rFonts w:ascii="Times New Roman CYR" w:hAnsi="Times New Roman CYR" w:cs="Times New Roman CYR"/>
          <w:sz w:val="28"/>
          <w:szCs w:val="28"/>
        </w:rPr>
        <w:t>посредников</w:t>
      </w:r>
      <w:proofErr w:type="gramEnd"/>
      <w:r>
        <w:rPr>
          <w:rFonts w:ascii="Times New Roman CYR" w:hAnsi="Times New Roman CYR" w:cs="Times New Roman CYR"/>
          <w:sz w:val="28"/>
          <w:szCs w:val="28"/>
        </w:rPr>
        <w:t xml:space="preserve"> возможно значительно сократить количество прямых контактов производителей с потребителями продукции.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Оптовые структуры обеспечивают эффективность торгового процесса. </w:t>
      </w:r>
      <w:r>
        <w:rPr>
          <w:rFonts w:ascii="Times New Roman CYR" w:hAnsi="Times New Roman CYR" w:cs="Times New Roman CYR"/>
          <w:sz w:val="28"/>
          <w:szCs w:val="28"/>
        </w:rPr>
        <w:lastRenderedPageBreak/>
        <w:t>Во-первых, мелкому производителю с ограниченными финансовыми ресурсами не под силу создать и содержать собственное сбытовое подразделение. Во-вторых, даже располагая достаточным капиталом, производитель скорее предпочтет направить средства на развитие производства, а не на организацию оптовой торговли. В-третьих, эффективность деятельности оптовиков окажется выше благодаря размаху операций, большему числу деловых контактов в сфере розничной торговли и наличию у них специальных знаний и умений. В-четвертых, розничные предприятия, имеющие дело с широким товарным ассортиментом, нередко предпочитают закупать весь набор товаров у одного оптовика, а не по частям у разных производителей.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оптовой торговли Кемеровской области показал, что в настоящее время эта сфера деятельности очень развита. Оптовые организации находятся во всех крупных и более мелких городах области. Только в г. Новокузнецке находятся пятнадцать оптовых баз. Все они являются непосредственными конкурентам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 В таблице 4 </w:t>
      </w:r>
      <w:proofErr w:type="gramStart"/>
      <w:r>
        <w:rPr>
          <w:rFonts w:ascii="Times New Roman CYR" w:hAnsi="Times New Roman CYR" w:cs="Times New Roman CYR"/>
          <w:sz w:val="28"/>
          <w:szCs w:val="28"/>
        </w:rPr>
        <w:t>представлен</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ООО «Кия-1».</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ООО «Кия-1»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32"/>
        <w:gridCol w:w="3922"/>
      </w:tblGrid>
      <w:tr w:rsidR="00312499">
        <w:trPr>
          <w:jc w:val="center"/>
        </w:trPr>
        <w:tc>
          <w:tcPr>
            <w:tcW w:w="543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 1. Эффективное управление 2. Молодой квалифицированный коллектив 3. Эффективное использование маркетинговых стратегий 4. Низкие издержки 5. Большой ассортимент товаров</w:t>
            </w:r>
          </w:p>
        </w:tc>
        <w:tc>
          <w:tcPr>
            <w:tcW w:w="392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  1. Плохая узнаваемость 2. Неэффективная рекламная деятельность</w:t>
            </w:r>
          </w:p>
        </w:tc>
      </w:tr>
      <w:tr w:rsidR="00312499">
        <w:trPr>
          <w:jc w:val="center"/>
        </w:trPr>
        <w:tc>
          <w:tcPr>
            <w:tcW w:w="543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 1. Внедрение комплекса маркетинга 2. Обучение персонала</w:t>
            </w:r>
          </w:p>
        </w:tc>
        <w:tc>
          <w:tcPr>
            <w:tcW w:w="392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 1. Давление со стороны конкурентов  2. Недостаток собственных финансов</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стратегия фирм</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«Кия-1» - захват доли рынка путем снижения цен. Из вышеизложенного можно сделать вывод, что фирма придерживается стратегии минимизации издержек, что позволяет установить цену ниже, чем у конкурентов, и расширить, тем самым, свою долю рынка.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использования реклам</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«Кия-1» выявил ее виды и </w:t>
      </w:r>
      <w:r>
        <w:rPr>
          <w:rFonts w:ascii="Times New Roman CYR" w:hAnsi="Times New Roman CYR" w:cs="Times New Roman CYR"/>
          <w:sz w:val="28"/>
          <w:szCs w:val="28"/>
        </w:rPr>
        <w:lastRenderedPageBreak/>
        <w:t>содержание. В таблице 5 представлены виды рекламы, которые использует ООО «Кия-1».</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Виды рекламы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05"/>
        <w:gridCol w:w="4949"/>
      </w:tblGrid>
      <w:tr w:rsidR="00312499">
        <w:trPr>
          <w:jc w:val="center"/>
        </w:trPr>
        <w:tc>
          <w:tcPr>
            <w:tcW w:w="440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Виды рекламы</w:t>
            </w:r>
          </w:p>
        </w:tc>
        <w:tc>
          <w:tcPr>
            <w:tcW w:w="494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рекламы</w:t>
            </w:r>
          </w:p>
        </w:tc>
      </w:tr>
      <w:tr w:rsidR="00312499">
        <w:trPr>
          <w:jc w:val="center"/>
        </w:trPr>
        <w:tc>
          <w:tcPr>
            <w:tcW w:w="440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Электронная реклама</w:t>
            </w:r>
          </w:p>
        </w:tc>
        <w:tc>
          <w:tcPr>
            <w:tcW w:w="494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Имеется свой сайт 2. Сообщения на деловых сайтах</w:t>
            </w:r>
          </w:p>
        </w:tc>
      </w:tr>
      <w:tr w:rsidR="00312499">
        <w:trPr>
          <w:jc w:val="center"/>
        </w:trPr>
        <w:tc>
          <w:tcPr>
            <w:tcW w:w="440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Печатная реклама</w:t>
            </w:r>
          </w:p>
        </w:tc>
        <w:tc>
          <w:tcPr>
            <w:tcW w:w="494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Реклама дается в </w:t>
            </w:r>
            <w:proofErr w:type="gramStart"/>
            <w:r>
              <w:rPr>
                <w:rFonts w:ascii="Times New Roman CYR" w:hAnsi="Times New Roman CYR" w:cs="Times New Roman CYR"/>
                <w:sz w:val="20"/>
                <w:szCs w:val="20"/>
              </w:rPr>
              <w:t>деловые</w:t>
            </w:r>
            <w:proofErr w:type="gramEnd"/>
            <w:r>
              <w:rPr>
                <w:rFonts w:ascii="Times New Roman CYR" w:hAnsi="Times New Roman CYR" w:cs="Times New Roman CYR"/>
                <w:sz w:val="20"/>
                <w:szCs w:val="20"/>
              </w:rPr>
              <w:t xml:space="preserve"> бизнес-издания </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рекламы как метода продвижения услуг имеет свои достоинства и недостатки, представленные в таблице 6.</w:t>
      </w:r>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Достоинства и недостатки рекламы в комплексе продвижения услуг ООО «Кия-1»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1"/>
        <w:gridCol w:w="3153"/>
      </w:tblGrid>
      <w:tr w:rsidR="00312499">
        <w:trPr>
          <w:jc w:val="center"/>
        </w:trPr>
        <w:tc>
          <w:tcPr>
            <w:tcW w:w="620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Достоинства</w:t>
            </w:r>
          </w:p>
        </w:tc>
        <w:tc>
          <w:tcPr>
            <w:tcW w:w="315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312499">
        <w:trPr>
          <w:jc w:val="center"/>
        </w:trPr>
        <w:tc>
          <w:tcPr>
            <w:tcW w:w="620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Информирование потенциальных потребителей о достоинствах услуг 2. Охват широкого территориально распределенного рынка (вся Россия) 3. Возможность корректировки во времени 4. Низкие расходы на рекламу 5. Мобильность рекламы</w:t>
            </w:r>
          </w:p>
        </w:tc>
        <w:tc>
          <w:tcPr>
            <w:tcW w:w="315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Отсутствие или слабая обратная связь с заказчиками 2. Невозможность индивидуального подхода, личного контакта с покупателями 3. Непрофессиональная реклама</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рекламы являются информативными, убеждающими, напоминающими, что зависит от стратегических задач фирмы, целей и задач маркетинговой политики; особенностей целевого рынка, выявленных в результате его комплексного исследования; фазы жизненного цикла товара; степени осведомленности потребителей о товаре и самой фирме. Основная задача на фазе внедрения - создать первичный спрос, чтобы затем его развить (фазы роста и зрелости). Для фазы роста актуальна цель убеждения, особенно в ситуации усиливающейся конкуренции. Путем убеждения фирма стремится создать устойчивый спрос. Цель убеждения обычно облекается в форму сравнительной характеристики достоинств товара (в основном на потребительских рынках).</w:t>
      </w:r>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 Пути снижения рисков в ООО «Кия-1»</w:t>
      </w:r>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как один из компонентов подсистемы внутренней структуры отличается следующими характерными признаками: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нацеленность работы персонала на обеспечение и поддержание конкурентоспособности товаров и услуг по всему технологическому циклу;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быстрая адаптация к постоянно изменяющейся конкурентной среде;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постоянное повышение своей квалификации;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систематический анализ конкурентной среды, а так же преимуще</w:t>
      </w:r>
      <w:proofErr w:type="gramStart"/>
      <w:r>
        <w:rPr>
          <w:rFonts w:ascii="Times New Roman CYR" w:hAnsi="Times New Roman CYR" w:cs="Times New Roman CYR"/>
          <w:sz w:val="28"/>
          <w:szCs w:val="28"/>
        </w:rPr>
        <w:t>ств св</w:t>
      </w:r>
      <w:proofErr w:type="gramEnd"/>
      <w:r>
        <w:rPr>
          <w:rFonts w:ascii="Times New Roman CYR" w:hAnsi="Times New Roman CYR" w:cs="Times New Roman CYR"/>
          <w:sz w:val="28"/>
          <w:szCs w:val="28"/>
        </w:rPr>
        <w:t>оей организации, реализуемых ею товаров, оказываемых услуг и организации-конкурента, ее товаров и услуг;</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учет факторов, влияющих на формирование и поддержание потребительских предпочтений;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знание методов обеспечения конкурентоспособности и умение применять их в сфере обслуживания.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предприятия все больше ощущают усиление конкурентной борьбы, им все чаще приходится задумываться о собственной конкурентной позиции и завоевании безусловных преимуществ на рынке. </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 не является исключением. Экономический успех (а часто и выживание) субъекта рыночной экономики в первую очередь зависит от того, насколько хорошо он знает законы конкуренции, ее проявления и формы и насколько готов к конкурентной борьбе. Изучение конкуренции представляет собой одну из важнейших составных частей рыночных исследований, создающих основу для выработки стратегии и тактики деятельности на рынке, выбора правильного пути повышения технического уровня и качества, что является основой управления конкурентоспособностью на предприятии. Оценка </w:t>
      </w:r>
      <w:r>
        <w:rPr>
          <w:rFonts w:ascii="Times New Roman CYR" w:hAnsi="Times New Roman CYR" w:cs="Times New Roman CYR"/>
          <w:sz w:val="28"/>
          <w:szCs w:val="28"/>
        </w:rPr>
        <w:lastRenderedPageBreak/>
        <w:t>ситуации на рынке, анализ влияния сил и факторов среды, определение дальнейшего ее развития важно при разработке стратегии предприятия.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Конкурентная среда - условия, в которых предприятие ведет борьбу за потребителей, поставщиков, партнеров и преобладающее положение на рынке. В результате оценки конкурентоспособности продукции могут быть приняты следующие пути повышения конкурентоспособности: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состава, структуры применяемых материалов (сырья, полуфабрикатов), комплектующих изделий и/или конструкции продукции;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порядка проектирования продукции;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технологии изготовления продукции; методов испытаний, системы контроля качества изготовления, хранения, упаковки, транспортировки и монтажа;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цен на продукцию, цен на услуги, по обслуживанию и ремонту, и цен на запасные части;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порядка реализации продукции на рынке;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структуры и размера инвестиции в разработку, производство и сбыт продукции;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структуры и объемов кооперационных поставок при производстве продукции и цен на комплектующие изделия и состава выбранных поставщиков;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системы стимулирования поставщиков;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структуры импорта и видов импортируемой продукции.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повышения качества товара является важнейшей составной частью стратегии фирмы. Объектами прогнозирования являются показатели качества товара, уступающие аналогичным показателям товаров конкурентов.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продаж ООО «Кия-1» заключается в том, что продажа практически осуществляется по телефону, так как потребители могут находиться </w:t>
      </w:r>
      <w:r>
        <w:rPr>
          <w:rFonts w:ascii="Times New Roman CYR" w:hAnsi="Times New Roman CYR" w:cs="Times New Roman CYR"/>
          <w:sz w:val="28"/>
          <w:szCs w:val="28"/>
        </w:rPr>
        <w:lastRenderedPageBreak/>
        <w:t>по всему региону.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личного общения может негативно сказываться на объеме заключенных договоров на поставку.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предприятия в основном осуществляется с помощью различных видов рекламных источников. Этому способствует то, что склады и офис предприятия находятся в Новокузнецке, а их потребители - по всей стране. Именно поэтому реклама является для предприятия ООО «Кия-1» основным сбытовым фактором. От ее качества напрямую зависит объем продаж предприятия.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снижения рисков в ООО «Кия-1» в выпускной квалификационной работе предлагаются следующие мероприятия:</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эффективного электронного сайта;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квалификации работников торгового предприятия по ведению телефонных переговоров.</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выпускной квалификационной работе предлагается создать эффективный электронный сайт ООО «Кия-1». </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 заключается в том, что продажу своей продукции предприятие производит клиентам, находящимся на всей территории России. Клиенты находят предприятие, используя два способа:</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обращаясь к деловым справочникам;</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сети Интернет.</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вариант не совсем эффективный, так как не у всех потенциальных потребителей имеются </w:t>
      </w:r>
      <w:proofErr w:type="gramStart"/>
      <w:r>
        <w:rPr>
          <w:rFonts w:ascii="Times New Roman CYR" w:hAnsi="Times New Roman CYR" w:cs="Times New Roman CYR"/>
          <w:sz w:val="28"/>
          <w:szCs w:val="28"/>
        </w:rPr>
        <w:t>бизнес-справочники</w:t>
      </w:r>
      <w:proofErr w:type="gramEnd"/>
      <w:r>
        <w:rPr>
          <w:rFonts w:ascii="Times New Roman CYR" w:hAnsi="Times New Roman CYR" w:cs="Times New Roman CYR"/>
          <w:sz w:val="28"/>
          <w:szCs w:val="28"/>
        </w:rPr>
        <w:t xml:space="preserve">. Только крупные предприятия могут постоянно обновлять их, так как информация в справочниках быстро устаревает. Поэтому большинство клиентов, чтобы приобрести продукцию, предлагаемую ООО «Кия-1», обращаются к услугам Интернета. </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предприятия имеется свой электронный сайт - http:// </w:t>
      </w:r>
      <w:proofErr w:type="gramStart"/>
      <w:r>
        <w:rPr>
          <w:rFonts w:ascii="Times New Roman CYR" w:hAnsi="Times New Roman CYR" w:cs="Times New Roman CYR"/>
          <w:sz w:val="28"/>
          <w:szCs w:val="28"/>
          <w:lang w:val="en-US"/>
        </w:rPr>
        <w:t>Kiya</w:t>
      </w:r>
      <w:r>
        <w:rPr>
          <w:rFonts w:ascii="Times New Roman CYR" w:hAnsi="Times New Roman CYR" w:cs="Times New Roman CYR"/>
          <w:sz w:val="28"/>
          <w:szCs w:val="28"/>
        </w:rPr>
        <w:t xml:space="preserve">-1.ru/news, но </w:t>
      </w:r>
      <w:r>
        <w:rPr>
          <w:rFonts w:ascii="Times New Roman CYR" w:hAnsi="Times New Roman CYR" w:cs="Times New Roman CYR"/>
          <w:sz w:val="28"/>
          <w:szCs w:val="28"/>
        </w:rPr>
        <w:lastRenderedPageBreak/>
        <w:t>его содержание не соответствует запросам потенциальных клиентов.</w:t>
      </w:r>
      <w:proofErr w:type="gramEnd"/>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Существующий электронный сайт содержит:</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наименование фирмы;</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перечень предлагаемой продукции в общем виде;</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немного истории о фирме;</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контактные телефоны.</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усилением конкуренции в сфере реализации продовольственных товаров из-за снижения спроса на продукцию, такой информации мало. Сайт ООО «Кия-1» ничем не выделяется среди своих конкурентов. Информации для потенциальных потребителей мало. </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разработать и внедрить новое содержание уже существующего электронного сайта. Практически его необходимо создать снова.</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сайт смог привлечь новых клиентов и удержать старых, он должен содержать:</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наименование предприятия;</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перечень партнеров предприятия, которые уже неоднократно приобретали продукцию предприятия;</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динамику объемов продаж;</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обязательно новости в сфере производства и реализации товаров, так как некоторые потенциальные заказчики ранее не интересовались новинками;</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подробное описание новых и старых видов продукции;</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достоинств, упоминание о недостатках;</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мнение эксперта по выбору товаров;</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разбег цен на продукцию;</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описание системы возможных скидок.</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историю создания и деятельности фирмы;</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обратная связь;</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контактные телефоны.</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Потенциальный потребитель, найдя на сайте торгового предприятия ответы на интересующие его вопросы, возможно больше не станет искать новых продавцов, а выберет к себе в партнер</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«Кия-1», или обратиться к нему позднее, так как информация, находящаяся на сайте предприятия сможет удовлетворить все его потребности. Постоянные заказчики также смогут воспользоваться информацией с сайта. В таблице 7 предлагаются мероприятия, которые необходимо провести, чтобы внедрить проект эффективного электронного сайта</w:t>
      </w:r>
    </w:p>
    <w:p w:rsidR="00312499"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Диаграмма Гантта по созданию и внедрению эффективного электронного сайта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33"/>
        <w:gridCol w:w="591"/>
        <w:gridCol w:w="609"/>
        <w:gridCol w:w="591"/>
        <w:gridCol w:w="591"/>
        <w:gridCol w:w="591"/>
        <w:gridCol w:w="591"/>
        <w:gridCol w:w="591"/>
        <w:gridCol w:w="591"/>
        <w:gridCol w:w="591"/>
        <w:gridCol w:w="1015"/>
      </w:tblGrid>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5337" w:type="dxa"/>
            <w:gridSpan w:val="9"/>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Ответственный</w:t>
            </w: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791"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март</w:t>
            </w:r>
          </w:p>
        </w:tc>
        <w:tc>
          <w:tcPr>
            <w:tcW w:w="1773"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апрель</w:t>
            </w:r>
          </w:p>
        </w:tc>
        <w:tc>
          <w:tcPr>
            <w:tcW w:w="1773"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май</w:t>
            </w:r>
          </w:p>
        </w:tc>
        <w:tc>
          <w:tcPr>
            <w:tcW w:w="1015"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квартал</w:t>
            </w:r>
          </w:p>
        </w:tc>
        <w:tc>
          <w:tcPr>
            <w:tcW w:w="60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квартал</w:t>
            </w:r>
          </w:p>
        </w:tc>
        <w:tc>
          <w:tcPr>
            <w:tcW w:w="1015"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Консультация со специалистами по оформлению сайта</w:t>
            </w: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Заказ проекта электронного сайта </w:t>
            </w: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макета</w:t>
            </w: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Выбор проекта из числа </w:t>
            </w:r>
            <w:proofErr w:type="gramStart"/>
            <w:r>
              <w:rPr>
                <w:rFonts w:ascii="Times New Roman CYR" w:hAnsi="Times New Roman CYR" w:cs="Times New Roman CYR"/>
                <w:sz w:val="20"/>
                <w:szCs w:val="20"/>
              </w:rPr>
              <w:t>предложенных</w:t>
            </w:r>
            <w:proofErr w:type="gramEnd"/>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Внедрение проекта</w:t>
            </w: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6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результатов внедрения</w:t>
            </w: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Ранее говорилось, что специфика продаж в ООО «Кия-1» заключается в продаже по телефону. </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Менеджеры должны обладать профессиональной подготовкой в области продаж товара по телефону и с помощью электронной связи. Общение с клиентом по телефону имеет специфические черты по сравнению с личным общением. </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повышения квалификации персонала предлагается провести их обучение эффективному общению по телефону. Обучать необходимо менеджеров по закупкам и менеджеров по продажам. В настоящее время их всего 10 человек. Для проведения обучения необходимо обратиться в фирму, специализирующуюся по предоставлению услуг в сфере повышения эффективности работы персонала. Обучение должно быть направлено на развитие способностей ведения переговоров по телефону с целью заключения договоров, которые принесут фирме прибыль. В таблице 8 представлены мероприятия, которые необходимо провести, чтобы внедрить проект повышения эффективности ведения переговоров по телефону.</w:t>
      </w:r>
    </w:p>
    <w:p w:rsidR="00312499"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Диаграмма Гантта по повышения эффективности ведения переговоров по телефону</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40"/>
        <w:gridCol w:w="528"/>
        <w:gridCol w:w="639"/>
        <w:gridCol w:w="639"/>
        <w:gridCol w:w="639"/>
        <w:gridCol w:w="639"/>
        <w:gridCol w:w="639"/>
        <w:gridCol w:w="639"/>
        <w:gridCol w:w="640"/>
        <w:gridCol w:w="591"/>
        <w:gridCol w:w="1238"/>
      </w:tblGrid>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5593" w:type="dxa"/>
            <w:gridSpan w:val="9"/>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2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Ответственный</w:t>
            </w: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806"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март</w:t>
            </w:r>
          </w:p>
        </w:tc>
        <w:tc>
          <w:tcPr>
            <w:tcW w:w="1917"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апрель</w:t>
            </w:r>
          </w:p>
        </w:tc>
        <w:tc>
          <w:tcPr>
            <w:tcW w:w="1870"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май</w:t>
            </w:r>
          </w:p>
        </w:tc>
        <w:tc>
          <w:tcPr>
            <w:tcW w:w="123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2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квартал</w:t>
            </w:r>
          </w:p>
        </w:tc>
        <w:tc>
          <w:tcPr>
            <w:tcW w:w="6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квартал</w:t>
            </w:r>
          </w:p>
        </w:tc>
        <w:tc>
          <w:tcPr>
            <w:tcW w:w="6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квартал</w:t>
            </w:r>
          </w:p>
        </w:tc>
        <w:tc>
          <w:tcPr>
            <w:tcW w:w="6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квартал</w:t>
            </w:r>
          </w:p>
        </w:tc>
        <w:tc>
          <w:tcPr>
            <w:tcW w:w="6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квартал</w:t>
            </w:r>
          </w:p>
        </w:tc>
        <w:tc>
          <w:tcPr>
            <w:tcW w:w="6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квартал</w:t>
            </w:r>
          </w:p>
        </w:tc>
        <w:tc>
          <w:tcPr>
            <w:tcW w:w="63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квартал</w:t>
            </w:r>
          </w:p>
        </w:tc>
        <w:tc>
          <w:tcPr>
            <w:tcW w:w="6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квартал</w:t>
            </w:r>
          </w:p>
        </w:tc>
        <w:tc>
          <w:tcPr>
            <w:tcW w:w="591"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квартал</w:t>
            </w:r>
          </w:p>
        </w:tc>
        <w:tc>
          <w:tcPr>
            <w:tcW w:w="123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Обозначение проблемы, консультация со специалистами</w:t>
            </w:r>
          </w:p>
        </w:tc>
        <w:tc>
          <w:tcPr>
            <w:tcW w:w="52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Выбор фирмы. Заключение договора на обучение</w:t>
            </w:r>
          </w:p>
        </w:tc>
        <w:tc>
          <w:tcPr>
            <w:tcW w:w="52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Проведение  обучения</w:t>
            </w:r>
          </w:p>
        </w:tc>
        <w:tc>
          <w:tcPr>
            <w:tcW w:w="52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Проверка полученных знаний</w:t>
            </w:r>
          </w:p>
        </w:tc>
        <w:tc>
          <w:tcPr>
            <w:tcW w:w="52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r w:rsidR="00312499">
        <w:trPr>
          <w:jc w:val="center"/>
        </w:trPr>
        <w:tc>
          <w:tcPr>
            <w:tcW w:w="274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результатов</w:t>
            </w:r>
          </w:p>
        </w:tc>
        <w:tc>
          <w:tcPr>
            <w:tcW w:w="528"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3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640"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591"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2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внедрении проектных мероприятий потребуются дополнительные расходы, показанные в таблице 9, которые будут состоять из средств, потраченных на создание электронного сайта, ежемесячного обновление сайта, а также на обучение навыкам ведения телефонных переговоров.</w:t>
      </w:r>
    </w:p>
    <w:p w:rsidR="00312499"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9 - Расчет расходов при внедрении проектных мероприятий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0"/>
        <w:gridCol w:w="1246"/>
        <w:gridCol w:w="2102"/>
        <w:gridCol w:w="2154"/>
      </w:tblGrid>
      <w:tr w:rsidR="00312499">
        <w:trPr>
          <w:jc w:val="center"/>
        </w:trPr>
        <w:tc>
          <w:tcPr>
            <w:tcW w:w="38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расхода</w:t>
            </w:r>
          </w:p>
        </w:tc>
        <w:tc>
          <w:tcPr>
            <w:tcW w:w="124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210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за единицу, руб.</w:t>
            </w:r>
          </w:p>
        </w:tc>
        <w:tc>
          <w:tcPr>
            <w:tcW w:w="215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Итоговая сумма, руб.</w:t>
            </w:r>
          </w:p>
        </w:tc>
      </w:tr>
      <w:tr w:rsidR="00312499">
        <w:trPr>
          <w:jc w:val="center"/>
        </w:trPr>
        <w:tc>
          <w:tcPr>
            <w:tcW w:w="38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сайта</w:t>
            </w:r>
          </w:p>
        </w:tc>
        <w:tc>
          <w:tcPr>
            <w:tcW w:w="124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0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45000</w:t>
            </w:r>
          </w:p>
        </w:tc>
        <w:tc>
          <w:tcPr>
            <w:tcW w:w="215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45000</w:t>
            </w:r>
          </w:p>
        </w:tc>
      </w:tr>
      <w:tr w:rsidR="00312499">
        <w:trPr>
          <w:jc w:val="center"/>
        </w:trPr>
        <w:tc>
          <w:tcPr>
            <w:tcW w:w="38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Обновление сайта: один раз в два месяца</w:t>
            </w:r>
          </w:p>
        </w:tc>
        <w:tc>
          <w:tcPr>
            <w:tcW w:w="124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10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215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30000</w:t>
            </w:r>
          </w:p>
        </w:tc>
      </w:tr>
      <w:tr w:rsidR="00312499">
        <w:trPr>
          <w:jc w:val="center"/>
        </w:trPr>
        <w:tc>
          <w:tcPr>
            <w:tcW w:w="38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обучение навыкам ведения телефонных переговоров</w:t>
            </w:r>
          </w:p>
        </w:tc>
        <w:tc>
          <w:tcPr>
            <w:tcW w:w="124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10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215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50000</w:t>
            </w:r>
          </w:p>
        </w:tc>
      </w:tr>
      <w:tr w:rsidR="00312499">
        <w:trPr>
          <w:jc w:val="center"/>
        </w:trPr>
        <w:tc>
          <w:tcPr>
            <w:tcW w:w="382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4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02"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54"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125000</w:t>
            </w:r>
          </w:p>
        </w:tc>
      </w:tr>
    </w:tbl>
    <w:p w:rsidR="00312499"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внедрении проектных мероприятий ООО «Кия-1» произведет расходы 125000 руб.</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проектных мероприятий по повышению конкурентоспособност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 позволяет ожидать увеличение товарооборота предприятия. Ожидается, что в результате внедрения проектного мероприятия ООО «Кия-1» получит дополнительную выручку 5%. </w:t>
      </w: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Финансово-экономические показатели проекта представлены в следующей таблице 10.</w:t>
      </w:r>
    </w:p>
    <w:p w:rsidR="00312499"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Финансово-экономические показатели до и после проекта, (тыс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6"/>
        <w:gridCol w:w="1815"/>
        <w:gridCol w:w="1876"/>
        <w:gridCol w:w="1333"/>
      </w:tblGrid>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3691" w:type="dxa"/>
            <w:gridSpan w:val="2"/>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период</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Проектный период</w:t>
            </w:r>
          </w:p>
        </w:tc>
        <w:tc>
          <w:tcPr>
            <w:tcW w:w="1333"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18942</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19889,1</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947,1</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16322</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17138,1</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816,1</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1698</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2751</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расходов к выручке от продажи продукции, %</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1197</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1197</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411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деятельности, %</w:t>
            </w:r>
          </w:p>
        </w:tc>
        <w:tc>
          <w:tcPr>
            <w:tcW w:w="181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876"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333"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Согласно данным таблицы 10, при внедрении проектного мероприятия в ООО «Кия-1», предприятие увеличит свой товарооборот на 5% и получит дополнительную прибыль в размере. Себестоимость увеличится за счет того, что при внедрении проектного мероприятия предприятие понесет дополнительные расходы. Положительным моментом является увеличение в проектном периоде рентабельности продаж.</w:t>
      </w:r>
    </w:p>
    <w:p w:rsidR="00312499" w:rsidRPr="001B7EBC"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 представлена динамика основных финансовых результатов ООО «Кия-1» до и после проекта.</w:t>
      </w:r>
    </w:p>
    <w:p w:rsidR="00312499" w:rsidRPr="001B7EBC"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1B7E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70500" cy="35052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 Динамика основных финансовых показателей ООО «Кия-1» до и после проекта</w:t>
      </w:r>
    </w:p>
    <w:p w:rsidR="00312499"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Годовой экономический эффект от проектных внедрения мероприятий составит:</w:t>
      </w:r>
    </w:p>
    <w:p w:rsidR="00312499"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 = Д - </w:t>
      </w:r>
      <w:proofErr w:type="gramStart"/>
      <w:r>
        <w:rPr>
          <w:rFonts w:ascii="Times New Roman CYR" w:hAnsi="Times New Roman CYR" w:cs="Times New Roman CYR"/>
          <w:sz w:val="28"/>
          <w:szCs w:val="28"/>
        </w:rPr>
        <w:t>Р</w:t>
      </w:r>
      <w:proofErr w:type="gramEnd"/>
    </w:p>
    <w:p w:rsidR="00312499"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 xml:space="preserve"> - доход от внедрения проектного мероприятия. Доход от внедрения проектного мероприятия составит:</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 = 909 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расходы на внедрение проекта; Р = 125 тыс.руб.</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экономический эффект равен:</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909 - 125 = 784 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совершенствования управления рискам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 предлагается в выпускной работе разработать и внедрить эффективный электронный сайт, а также провести мероприятия по повышению квалификации работников торгового предприятия по ведению телефонных переговоров.</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Проектные мероприятия позволят увеличить товарооборот предприятия, что положительно влияет на снижение влияния </w:t>
      </w:r>
      <w:proofErr w:type="gramStart"/>
      <w:r>
        <w:rPr>
          <w:rFonts w:ascii="Times New Roman CYR" w:hAnsi="Times New Roman CYR" w:cs="Times New Roman CYR"/>
          <w:sz w:val="28"/>
          <w:szCs w:val="28"/>
        </w:rPr>
        <w:t>рисков</w:t>
      </w:r>
      <w:proofErr w:type="gramEnd"/>
      <w:r>
        <w:rPr>
          <w:rFonts w:ascii="Times New Roman CYR" w:hAnsi="Times New Roman CYR" w:cs="Times New Roman CYR"/>
          <w:sz w:val="28"/>
          <w:szCs w:val="28"/>
        </w:rPr>
        <w:t xml:space="preserve"> на ООО «Кия-1».</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внедрении проектных мероприятий выручка предприятия увеличится на 5%. Рост валовой прибыли составит 1053 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 Чистая прибыль увеличится на 909 тыс.руб. Расчет экономической эффективности показал, что в проектном периоде ООО «Кия-1» получит от внедрения проектных мероприятий дополнительную прибыль в размере 784 тыс.руб.</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внедрение проектных мероприятий является эффективным и их можно рекомендовать для практического внедрения в ООО «Кия-1».</w:t>
      </w:r>
    </w:p>
    <w:p w:rsidR="00312499" w:rsidRDefault="00312499">
      <w:pPr>
        <w:widowControl w:val="0"/>
        <w:tabs>
          <w:tab w:val="lef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рассмотрены теоретические аспекты сущности рисков в менеджменте. Риск-менеджмент можно определить как одно из основных направлений современного менеджмента, изучающее проблемы управления рисками самостоятельной хозяйственной организации.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теории и практике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можно выделить три основных направления. Первое направление связано с разработкой системы мер, направленных на предупреждение и профилактику рисков. Второе - касается вопросов минимизации негативных последствий, которые могут причинить риски хозяйственной организации. И, наконец, третье направление тесным образом связано с возможностью получать в ситуациях риска дополнительные доходы или иные коммерческие преимущества.</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теоретических выкладок сделаны следующие выводы</w:t>
      </w:r>
      <w:proofErr w:type="gramStart"/>
      <w:r>
        <w:rPr>
          <w:rFonts w:ascii="Times New Roman CYR" w:hAnsi="Times New Roman CYR" w:cs="Times New Roman CYR"/>
          <w:sz w:val="28"/>
          <w:szCs w:val="28"/>
        </w:rPr>
        <w:t>:</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рамках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решаются три основные задачи: профилактика возникновения рисков; минимизация ущерба, причиненного рисками; максимизация дополнительной прибыли, получаемой в результате управления рисками.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Основную цель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можно определить как обеспечение максимальной эффективности управления рисками хозяйственной организации.</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Риск представляет собой потенциально существующую вероятность потери ресурсов или неполучения доходов.</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Риск непосредственным образом связан с управлением и находится в прямой зависимости от эффективности и обоснованности принимаемых управленческих решений.</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Посредством выявления сфер повышенного риска, его количественного измерения и осуществления регулярного контроля можно в ограниченной </w:t>
      </w:r>
      <w:r>
        <w:rPr>
          <w:rFonts w:ascii="Times New Roman CYR" w:hAnsi="Times New Roman CYR" w:cs="Times New Roman CYR"/>
          <w:sz w:val="28"/>
          <w:szCs w:val="28"/>
        </w:rPr>
        <w:lastRenderedPageBreak/>
        <w:t>степени управлять рисками либо осуществлять их профилактику. Это позволяет в значительной степени снизить уровень риска и минимизировать его негативные последствия</w:t>
      </w:r>
      <w:proofErr w:type="gramStart"/>
      <w:r>
        <w:rPr>
          <w:rFonts w:ascii="Times New Roman CYR" w:hAnsi="Times New Roman CYR" w:cs="Times New Roman CYR"/>
          <w:sz w:val="28"/>
          <w:szCs w:val="28"/>
        </w:rPr>
        <w:t>.</w:t>
      </w:r>
      <w:proofErr w:type="gramEnd"/>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Источники рисков - это условия и факторы, которые таят в себе и при определенных условиях сами по себе либо в различной совокупности обнаруживают враждебные намерения, вредоносные свойства, деструктивную природу.</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изучены практические подходы к управлению рисками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«Кия-1», что позволяет сделать следующее заключение: </w:t>
      </w:r>
    </w:p>
    <w:p w:rsidR="00312499" w:rsidRDefault="002A055D">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«Кия-1» - это торговое предприятие, специализирующееся на оптовой торговле продуктами питания. Свою деятельность ООО «Кия-1» осуществляет посредством организации оптовой и мелкооптовой торговли со склада. Показатели доходности предприятия имеют положительные значения, что говорит о том, что предприятие рентабельно и прибыльно. Динамика роста показателей доходности говорит о том, что предприятие улучшает свое финансовое положение.</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ООО «Кия-1» относится к </w:t>
      </w:r>
      <w:proofErr w:type="gramStart"/>
      <w:r>
        <w:rPr>
          <w:rFonts w:ascii="Times New Roman CYR" w:hAnsi="Times New Roman CYR" w:cs="Times New Roman CYR"/>
          <w:sz w:val="28"/>
          <w:szCs w:val="28"/>
        </w:rPr>
        <w:t>линейно-функциональной</w:t>
      </w:r>
      <w:proofErr w:type="gramEnd"/>
      <w:r>
        <w:rPr>
          <w:rFonts w:ascii="Times New Roman CYR" w:hAnsi="Times New Roman CYR" w:cs="Times New Roman CYR"/>
          <w:sz w:val="28"/>
          <w:szCs w:val="28"/>
        </w:rPr>
        <w:t xml:space="preserve">. Линейно-функциональная структура управления представляет собой наиболее распространенный вид иерархической структуры.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Существенным недостатком в работе оптовой баз</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«Кия-1» является то, что большинство персонала не имеют специальных знаний и специального экономического образования. Более того, ни один из них не получил необходимых знаний и навыков с использованием системы повышения квалификации. </w:t>
      </w: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Кадровый потенциал ООО «Кия-1» состоит из его персонала. В конце 2010г. его численность составляла 52 чел. На предприятии высокий оборот рабочей силы. Коэффициент текучести кадров к концу отчетного периода </w:t>
      </w:r>
      <w:r>
        <w:rPr>
          <w:rFonts w:ascii="Times New Roman CYR" w:hAnsi="Times New Roman CYR" w:cs="Times New Roman CYR"/>
          <w:sz w:val="28"/>
          <w:szCs w:val="28"/>
        </w:rPr>
        <w:lastRenderedPageBreak/>
        <w:t>снизился по сравнению с предыдущими периодами.</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управления рискам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 в третьей части выпускной квалификационной работе предлагается разработать и внедрить эффективный электронный сайт, а также провести мероприятия по повышению квалификации работников торгового предприятия по ведению телефонных переговоров.</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Проектные мероприятия позволят увеличить товарооборот предприятия, что положительно влияет на снижение влияния </w:t>
      </w:r>
      <w:proofErr w:type="gramStart"/>
      <w:r>
        <w:rPr>
          <w:rFonts w:ascii="Times New Roman CYR" w:hAnsi="Times New Roman CYR" w:cs="Times New Roman CYR"/>
          <w:sz w:val="28"/>
          <w:szCs w:val="28"/>
        </w:rPr>
        <w:t>рисков</w:t>
      </w:r>
      <w:proofErr w:type="gramEnd"/>
      <w:r>
        <w:rPr>
          <w:rFonts w:ascii="Times New Roman CYR" w:hAnsi="Times New Roman CYR" w:cs="Times New Roman CYR"/>
          <w:sz w:val="28"/>
          <w:szCs w:val="28"/>
        </w:rPr>
        <w:t xml:space="preserve"> на ООО «Кия-1».</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внедрении проектных мероприятий выручка предприятия увеличится на 5%. Рост валовой прибыли составит 1053 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 Чистая прибыль увеличится на 909 тыс.руб. Расчет экономической эффективности показал, что в проектном периоде ООО «Кия-1» получит от внедрения проектных мероприятий дополнительную прибыль в размере 784 тыс.руб.</w:t>
      </w:r>
    </w:p>
    <w:p w:rsidR="00312499" w:rsidRDefault="002A055D">
      <w:pPr>
        <w:widowControl w:val="0"/>
        <w:tabs>
          <w:tab w:val="center" w:pos="348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внедрение проектных мероприятий является эффективным и их можно рекомендовать для практического внедрения в ООО «Кия-1».</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Глоссарий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9"/>
        <w:gridCol w:w="1738"/>
        <w:gridCol w:w="6448"/>
      </w:tblGrid>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Понятие</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объединение людей, совместно реализующих некоторую программу или достигающих определенной цели и действующих на основе определенных процедур и правил</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Стратегическое управление</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это такое управление организацией, которое опирается на человеческий потенциал как основу организации, ориентирует производственную деятельность на запросы потребителей, гибко реагирует и проводит своевременные изменения в организации, отвечающие вызову со стороны окружения и позволяющие добиваться конкурентных преимуществ, что в совокупности дает возможность организации выживать в долгосрочной перспективе, достигая при этом своих целей</w:t>
            </w:r>
            <w:proofErr w:type="gramEnd"/>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Менеджмент</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это управление социально-экономическими и социально-техническими системами для получения конкретного результата.</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Управление</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целенаправленное воздействие на объект для достижения требуемого результата</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Целеполагание</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процесс разработки системы целей, начиная от общих целей организации и заканчивая целями отдельных ее подразделений</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Делегирование</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означает передачу задач и полномочий лицу, которое принимает на себя ответственность за их выполнение.</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Линейные полномочия</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это полномочия, которые передаются непосредственно от начальника к подчиненному и далее к другим подчиненным.</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Менеджмент</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это управление социально-экономическими и социально-техническими системами для получения конкретного результата.</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Дублирование функций</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выполнение одной и той же управленческой работы на различных иерархических уровнях руководства</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Двойное подчинение</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характеризуется тем, что предприятия и предпринимательские структуры, размещаясь в пределах определенных территориальных образований, используя их ресурсы, находятся одновременно в той или иной степени в двойном подчинении, с одной стороны, в условиях непосредственного руководства собственных органов отраслевого управления общей и специальной деятельностью, с другой - под воздействием и управлением региональной местной власти</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Персонал организации</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штатный состав работников, выполняющих различные производственно-хозяйственные функции</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Организационная структура управления</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совокупность специализированных функциональных подразделений, взаимосвязанных в процессе обоснования, выработки, принятия и реализации управленческих решений</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Управление персоналом</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целенаправленная деятельность руководящего состава предприятия, руководителей и специалистов подразделений системы управления персоналом, включающая разработку концепции и стратегии кадровой политики, принципов и методов управления</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организации</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человек, который одновременно является лидером и эффективно управляет своими подчиненными.</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Менеджмент</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это управление социально-экономическими и социально-техническими системами для получения конкретного результата</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Либеральный стиль управления</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руководителя уклониться от принятия решений и переложить задачу на других, а также безучастное отношение к делам коллектива</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Демократический стиль управления</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характеризуется стремлением руководителя к выработке коллективных решений, интересом к неформальным, человеческим отношениям</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Авторитарный стиль управления</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единоличное принятие руководителем управленческих решений, а также слабый интерес к работнику как личности</w:t>
            </w:r>
          </w:p>
        </w:tc>
      </w:tr>
      <w:tr w:rsidR="00312499">
        <w:trPr>
          <w:jc w:val="center"/>
        </w:trPr>
        <w:tc>
          <w:tcPr>
            <w:tcW w:w="81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73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w:t>
            </w:r>
          </w:p>
        </w:tc>
        <w:tc>
          <w:tcPr>
            <w:tcW w:w="644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это разделение целого на части, представление сложного в виде простых составляющих.</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Артемьев Е.В. Управление рисками на предприятии [Текст]: учебник / Е.В. Артемьев. - М.: Прогресс, 2008. - 453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978-5-12-105640-6.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Балашов И.В. Стратегия бизнеса [Текст] / И.В. Балашов.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Питер, 2009. - 428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978-5-18-123860-6.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Балдин, К.В. Риск-менеджмент [Текст]: учебник / К.В. Балдин, Воробьев. - М.: Гардарики, 2009. - 390 с. </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Веснин В.Р. Основы менеджмента [Текст] / В.Р. Веснин. - М.: Инфра-М, 2009. - 658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767-4-16-002273-4.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Виханский О.С. Менеджмент [Текст]: учебник / О.С. Виханский, А.И. Наумов. - М.: Гардарика, 2008. - 378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656-5-74-005121-4.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Виханский О.С. Стратегический менеджмент [Текст] / О.С. Виханский. - М.: Гардарика, 2009. - 496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578-5-24-002693-4.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Витрук Т.Р. Управление стратегией предприятия [Текст] / Т.Р. Витрук. - М.: Инфра-М, 2008. - 410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4968-2-14-002938-4.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Веснин В.Р. Менеджмент [Текст]: Учебник / В.Р.Веснин. - М.: Дело, 2008, - 410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978-5-09-002740-6.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Гончаренко Л.П. Риск-менеджмент [Текст]: учебник / Л.П. Гончаренко, С.А. Филин. - М.: КноРус, 2008. - 522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978-5-16-002273-4.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Крылова С.С. Управление рисками [Текст]: Учебное пособие / С.С. Крылова. - СПб: Питер, 2009. - 490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7978-5-12-064080-6.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Кибанов А.Я. Основы управления персоналом [Текст]: Учебник / А.Я. Кибанов. - М.: ИНФРА-М., 2010. - 776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978-5-16-002273-4.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Лапуста М. Риски в предпринимательской деятельности [Текст] / М. Лапуста. - М.: ИНФРА-М, 2008. - 406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265-5-16-002289-7.</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Малашихина Н.Н. Риск-менеджмент [Текст]: учебник / Н.Н. Малашихина, О.С. </w:t>
      </w:r>
      <w:r>
        <w:rPr>
          <w:rFonts w:ascii="Times New Roman CYR" w:hAnsi="Times New Roman CYR" w:cs="Times New Roman CYR"/>
          <w:sz w:val="28"/>
          <w:szCs w:val="28"/>
        </w:rPr>
        <w:lastRenderedPageBreak/>
        <w:t xml:space="preserve">Белокрылова. - М.: Проспект, 2008. - 438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456-6-16-0044332-3.</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Максимовцев Е.В. Стратегический менеджмент [Текст] / Е.В. Максимовцев. - М.: Проспект, 2008. - 458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978-3-16-108640-6.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Румянцева З.П. Менеджмент организации [Текст] / З.П.Румянцева, Н.А. Саломатин и др. - М.: ИНФРА-М., 2009. - 500с. - </w:t>
      </w:r>
      <w:proofErr w:type="gramStart"/>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978-5-106- 425650-4.</w:t>
      </w:r>
      <w:proofErr w:type="gramEnd"/>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Селин В.Н. Управление стратегией предприятия [Текст] / В.Н. Селин. - М.: Проспект, 2008. - 400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9978-5-482-01992-4.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Семенова И.И. История менеджмента [Текст]: учебное пособие для вузов / И.И. Семенова. - М.: ЮНИТИ-ДАН А, 2010. - 388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978-5-09-002740-6.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Слепнев Т.Ю. Стратегическое управление [Текст] / Т.Ю. Слепнев. - М.: Инфра-М, 2009. - 410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4968-2-14-002938-4.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Ступаков О.П. Риск-менеджмент [Текст]: учебник / О.П. Ступаков, Р.А. Токаренко. - М.: Финансы и статистика, 2008. - 528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454-9-16-000787-4.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Ступин, А.В. Риски предприятия [Текст] /А.В. Ступин //Менеджмент в России и за рубежом. - 2009. - №9. - с. 38-42.</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Тренев В.Г. Менеджмент организации [Текст] / В.Г. Тренев. - М.: Дело, 2009. - 410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978-5-16-019540-4.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Торопов В.Н. Управление предприятием [Текст]: Учебник / В.Н.Торопов. - М.: Приор, 2008. - 400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978-5-286-096642-4.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современной компанией: учебник</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Б. Мильнера, Ф. Лиса. - М.: ИНФРА-М, 2009. - 450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978-5-16-001990-4.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Уткин Э.А. История менеджмента [Текст] / Э.А. Уткин. - М.: ЭКМОС, 2008. - 588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284-5-16-01844-4.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Холмс Э. Риск-менеджмент [Текст]: учебник / Э. Холмс. - М.: ЭКСМО, 2008. - 436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126-5-16-019537-4.</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Фатхутдинов Р.А. Система менеджмента [Текст]: учебно-практическое пособие / Р.А. Фатхутдинов. - М.: Проспект, 2010. - 654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2978-5-16-002744-6.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Фатхутдинов Р.А. Риск-менеджмент [Текст]: учебник / Р.А. Фатхутдинов. - М.: Инфра-М, 2009. - 460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562-8-05-153508-6.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Фомичев А.Н. Риск-менеджмент [Текст]: учебник / А.Н. Фомичев. - М.: Прогресс, 2009. - 376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7978-5-12-009430-6.</w:t>
      </w:r>
    </w:p>
    <w:p w:rsidR="00312499" w:rsidRDefault="002A05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Шифрин С.В. Стратегический менеджмент [Текст]: учебник / С.В. Шекшня. - М.: Проспект, 2008. - 498 с. - </w:t>
      </w:r>
      <w:r>
        <w:rPr>
          <w:rFonts w:ascii="Times New Roman CYR" w:hAnsi="Times New Roman CYR" w:cs="Times New Roman CYR"/>
          <w:sz w:val="28"/>
          <w:szCs w:val="28"/>
          <w:lang w:val="en-US"/>
        </w:rPr>
        <w:t>ISBN</w:t>
      </w:r>
      <w:r>
        <w:rPr>
          <w:rFonts w:ascii="Times New Roman CYR" w:hAnsi="Times New Roman CYR" w:cs="Times New Roman CYR"/>
          <w:sz w:val="28"/>
          <w:szCs w:val="28"/>
        </w:rPr>
        <w:t xml:space="preserve"> 9978-5-62-01864-4.</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А</w:t>
      </w:r>
      <w:proofErr w:type="gramEnd"/>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финансово-экономические показател</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9"/>
        <w:gridCol w:w="1070"/>
        <w:gridCol w:w="1069"/>
        <w:gridCol w:w="1069"/>
        <w:gridCol w:w="1225"/>
        <w:gridCol w:w="998"/>
        <w:gridCol w:w="1225"/>
        <w:gridCol w:w="869"/>
      </w:tblGrid>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208" w:type="dxa"/>
            <w:gridSpan w:val="3"/>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4317" w:type="dxa"/>
            <w:gridSpan w:val="4"/>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3208" w:type="dxa"/>
            <w:gridSpan w:val="3"/>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2223" w:type="dxa"/>
            <w:gridSpan w:val="2"/>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2009/2008</w:t>
            </w:r>
          </w:p>
        </w:tc>
        <w:tc>
          <w:tcPr>
            <w:tcW w:w="2094" w:type="dxa"/>
            <w:gridSpan w:val="2"/>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2010/2009</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312499">
            <w:pPr>
              <w:widowControl w:val="0"/>
              <w:autoSpaceDE w:val="0"/>
              <w:autoSpaceDN w:val="0"/>
              <w:adjustRightInd w:val="0"/>
              <w:spacing w:after="0" w:line="240" w:lineRule="auto"/>
              <w:rPr>
                <w:rFonts w:ascii="Times New Roman CYR" w:hAnsi="Times New Roman CYR" w:cs="Times New Roman CYR"/>
                <w:sz w:val="20"/>
                <w:szCs w:val="20"/>
              </w:rPr>
            </w:pP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2008г.</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36221</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22241</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18942</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+17278</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+17865</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30294</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20257</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16322</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+1323</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5926</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1983</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1698</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+4227</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+3967</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валовой прибыли к выручке</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5027</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1725</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+3652</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+3276</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расходов к выручке от продажи продукции</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196</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109,7</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15,2</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9,5</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12499">
        <w:trPr>
          <w:jc w:val="center"/>
        </w:trPr>
        <w:tc>
          <w:tcPr>
            <w:tcW w:w="182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деятельности, %</w:t>
            </w:r>
          </w:p>
        </w:tc>
        <w:tc>
          <w:tcPr>
            <w:tcW w:w="1070"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10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8"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5"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9" w:type="dxa"/>
            <w:tcBorders>
              <w:top w:val="single" w:sz="6" w:space="0" w:color="auto"/>
              <w:left w:val="single" w:sz="6" w:space="0" w:color="auto"/>
              <w:bottom w:val="single" w:sz="6" w:space="0" w:color="auto"/>
              <w:right w:val="single" w:sz="6" w:space="0" w:color="auto"/>
            </w:tcBorders>
          </w:tcPr>
          <w:p w:rsidR="00312499" w:rsidRDefault="002A05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Б</w:t>
      </w:r>
      <w:proofErr w:type="gramEnd"/>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основных экономических показателей ООО «Кия-1»</w:t>
      </w:r>
    </w:p>
    <w:p w:rsidR="00312499" w:rsidRDefault="001B7E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3350" cy="27813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2499" w:rsidRDefault="0031249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12499" w:rsidRDefault="002A05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В</w:t>
      </w:r>
      <w:proofErr w:type="gramEnd"/>
    </w:p>
    <w:p w:rsidR="00312499" w:rsidRPr="001B7EBC"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прибыл</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«Кия-1»</w:t>
      </w:r>
    </w:p>
    <w:p w:rsidR="00312499" w:rsidRDefault="001B7E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3350" cy="36576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Г</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ООО «Кия-1»</w:t>
      </w: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25BD7" w:rsidRPr="00655958" w:rsidRDefault="00625BD7" w:rsidP="00625BD7">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625BD7" w:rsidRPr="00E210ED" w:rsidTr="00BF6D22">
        <w:tc>
          <w:tcPr>
            <w:tcW w:w="3227" w:type="dxa"/>
            <w:tcBorders>
              <w:top w:val="single" w:sz="4" w:space="0" w:color="auto"/>
              <w:left w:val="single" w:sz="4" w:space="0" w:color="auto"/>
              <w:bottom w:val="single" w:sz="4" w:space="0" w:color="auto"/>
              <w:right w:val="single" w:sz="4" w:space="0" w:color="auto"/>
            </w:tcBorders>
          </w:tcPr>
          <w:p w:rsidR="00625BD7" w:rsidRPr="00E210ED" w:rsidRDefault="00625BD7" w:rsidP="00BF6D22">
            <w:pPr>
              <w:spacing w:line="480" w:lineRule="auto"/>
              <w:jc w:val="center"/>
              <w:rPr>
                <w:rFonts w:ascii="Times New Roman CYR" w:eastAsia="Calibri" w:hAnsi="Times New Roman CYR" w:cs="Times New Roman CYR"/>
                <w:sz w:val="24"/>
                <w:szCs w:val="24"/>
              </w:rPr>
            </w:pPr>
          </w:p>
          <w:p w:rsidR="00625BD7" w:rsidRPr="00E210ED" w:rsidRDefault="00625BD7" w:rsidP="00BF6D22">
            <w:pPr>
              <w:spacing w:line="480" w:lineRule="auto"/>
              <w:jc w:val="center"/>
              <w:rPr>
                <w:rFonts w:eastAsia="Calibri"/>
                <w:lang w:val="en-US"/>
              </w:rPr>
            </w:pPr>
            <w:hyperlink r:id="rId14"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25BD7" w:rsidRPr="00E210ED" w:rsidRDefault="00625BD7" w:rsidP="00BF6D22">
            <w:pPr>
              <w:spacing w:line="480" w:lineRule="auto"/>
              <w:jc w:val="center"/>
              <w:rPr>
                <w:rFonts w:eastAsia="Calibri"/>
                <w:lang w:val="en-US"/>
              </w:rPr>
            </w:pPr>
            <w:r w:rsidRPr="00E210ED">
              <w:rPr>
                <w:rFonts w:eastAsia="Calibri"/>
                <w:noProof/>
              </w:rPr>
              <w:drawing>
                <wp:inline distT="0" distB="0" distL="0" distR="0" wp14:anchorId="3DC36E41" wp14:editId="0D6981D8">
                  <wp:extent cx="3784600" cy="1257300"/>
                  <wp:effectExtent l="0" t="0" r="63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25BD7" w:rsidRPr="00E210ED" w:rsidRDefault="00625BD7" w:rsidP="00625BD7">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625BD7" w:rsidRPr="00E210ED" w:rsidTr="00BF6D22">
        <w:tc>
          <w:tcPr>
            <w:tcW w:w="4952" w:type="dxa"/>
            <w:tcBorders>
              <w:top w:val="single" w:sz="4" w:space="0" w:color="auto"/>
              <w:left w:val="single" w:sz="4" w:space="0" w:color="auto"/>
              <w:bottom w:val="single" w:sz="4" w:space="0" w:color="auto"/>
              <w:right w:val="single" w:sz="4" w:space="0" w:color="auto"/>
            </w:tcBorders>
          </w:tcPr>
          <w:p w:rsidR="00625BD7" w:rsidRPr="00E210ED" w:rsidRDefault="00625BD7" w:rsidP="00BF6D22">
            <w:pPr>
              <w:spacing w:line="480" w:lineRule="auto"/>
              <w:jc w:val="center"/>
              <w:rPr>
                <w:rFonts w:ascii="Times New Roman CYR" w:eastAsia="Calibri" w:hAnsi="Times New Roman CYR" w:cs="Times New Roman CYR"/>
                <w:sz w:val="24"/>
                <w:szCs w:val="24"/>
              </w:rPr>
            </w:pPr>
          </w:p>
          <w:p w:rsidR="00625BD7" w:rsidRPr="00E210ED" w:rsidRDefault="00625BD7" w:rsidP="00BF6D22">
            <w:pPr>
              <w:spacing w:line="480" w:lineRule="auto"/>
              <w:jc w:val="center"/>
              <w:rPr>
                <w:rFonts w:eastAsia="Calibri"/>
              </w:rPr>
            </w:pPr>
            <w:hyperlink r:id="rId16"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25BD7" w:rsidRPr="00E210ED" w:rsidRDefault="00625BD7" w:rsidP="00BF6D22">
            <w:pPr>
              <w:spacing w:line="480" w:lineRule="auto"/>
              <w:jc w:val="center"/>
              <w:rPr>
                <w:rFonts w:eastAsia="Calibri"/>
              </w:rPr>
            </w:pPr>
            <w:r w:rsidRPr="00E210ED">
              <w:rPr>
                <w:rFonts w:eastAsia="Calibri"/>
                <w:noProof/>
              </w:rPr>
              <w:drawing>
                <wp:inline distT="0" distB="0" distL="0" distR="0" wp14:anchorId="23A6E0DC" wp14:editId="540D23E6">
                  <wp:extent cx="2184400" cy="1962150"/>
                  <wp:effectExtent l="0" t="0" r="635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25BD7" w:rsidRPr="00E210ED" w:rsidRDefault="00625BD7" w:rsidP="00625BD7">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625BD7"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25BD7" w:rsidRPr="00E210ED" w:rsidRDefault="00625BD7" w:rsidP="00BF6D22">
            <w:pPr>
              <w:spacing w:line="480" w:lineRule="auto"/>
              <w:jc w:val="center"/>
              <w:rPr>
                <w:rFonts w:ascii="Times New Roman CYR" w:eastAsia="Calibri" w:hAnsi="Times New Roman CYR" w:cs="Times New Roman CYR"/>
                <w:sz w:val="24"/>
                <w:szCs w:val="24"/>
              </w:rPr>
            </w:pPr>
          </w:p>
          <w:p w:rsidR="00625BD7" w:rsidRPr="00E210ED" w:rsidRDefault="00625BD7" w:rsidP="00BF6D22">
            <w:pPr>
              <w:spacing w:line="480" w:lineRule="auto"/>
              <w:jc w:val="center"/>
              <w:rPr>
                <w:rFonts w:ascii="Arial Black" w:eastAsia="Calibri" w:hAnsi="Arial Black" w:cs="Arial"/>
                <w:b/>
                <w:sz w:val="28"/>
                <w:szCs w:val="28"/>
              </w:rPr>
            </w:pPr>
            <w:hyperlink r:id="rId18"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25BD7" w:rsidRPr="00E210ED" w:rsidRDefault="00625BD7"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17270F71" wp14:editId="50881035">
                  <wp:extent cx="1600200" cy="16002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25BD7" w:rsidRPr="00E210ED" w:rsidRDefault="00625BD7" w:rsidP="00625BD7">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625BD7" w:rsidRPr="00E210ED" w:rsidTr="00BF6D22">
        <w:tc>
          <w:tcPr>
            <w:tcW w:w="3652" w:type="dxa"/>
            <w:tcBorders>
              <w:top w:val="single" w:sz="4" w:space="0" w:color="auto"/>
              <w:left w:val="single" w:sz="4" w:space="0" w:color="auto"/>
              <w:bottom w:val="single" w:sz="4" w:space="0" w:color="auto"/>
              <w:right w:val="single" w:sz="4" w:space="0" w:color="auto"/>
            </w:tcBorders>
          </w:tcPr>
          <w:p w:rsidR="00625BD7" w:rsidRPr="00E210ED" w:rsidRDefault="00625BD7" w:rsidP="00BF6D22">
            <w:pPr>
              <w:spacing w:line="480" w:lineRule="auto"/>
              <w:jc w:val="center"/>
              <w:rPr>
                <w:rFonts w:ascii="Times New Roman CYR" w:eastAsia="Calibri" w:hAnsi="Times New Roman CYR" w:cs="Times New Roman CYR"/>
                <w:sz w:val="24"/>
                <w:szCs w:val="24"/>
              </w:rPr>
            </w:pPr>
          </w:p>
          <w:p w:rsidR="00625BD7" w:rsidRPr="00E210ED" w:rsidRDefault="00625BD7" w:rsidP="00BF6D22">
            <w:pPr>
              <w:spacing w:line="480" w:lineRule="auto"/>
              <w:jc w:val="center"/>
              <w:rPr>
                <w:rFonts w:eastAsia="Calibri"/>
                <w:lang w:val="en-US"/>
              </w:rPr>
            </w:pPr>
            <w:hyperlink r:id="rId20"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25BD7" w:rsidRPr="00E210ED" w:rsidRDefault="00625BD7" w:rsidP="00BF6D22">
            <w:pPr>
              <w:spacing w:line="480" w:lineRule="auto"/>
              <w:jc w:val="center"/>
              <w:rPr>
                <w:rFonts w:eastAsia="Calibri"/>
                <w:lang w:val="en-US"/>
              </w:rPr>
            </w:pPr>
            <w:r w:rsidRPr="00E210ED">
              <w:rPr>
                <w:rFonts w:eastAsia="Calibri"/>
                <w:noProof/>
              </w:rPr>
              <w:drawing>
                <wp:inline distT="0" distB="0" distL="0" distR="0" wp14:anchorId="0EE296E6" wp14:editId="25C3C0A2">
                  <wp:extent cx="3752850" cy="1841500"/>
                  <wp:effectExtent l="0" t="0" r="0" b="635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25BD7" w:rsidRPr="00E210ED" w:rsidRDefault="00625BD7" w:rsidP="00625BD7">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625BD7" w:rsidRPr="00E210ED" w:rsidTr="00BF6D22">
        <w:tc>
          <w:tcPr>
            <w:tcW w:w="3936" w:type="dxa"/>
            <w:tcBorders>
              <w:top w:val="single" w:sz="4" w:space="0" w:color="auto"/>
              <w:left w:val="single" w:sz="4" w:space="0" w:color="auto"/>
              <w:bottom w:val="single" w:sz="4" w:space="0" w:color="auto"/>
              <w:right w:val="single" w:sz="4" w:space="0" w:color="auto"/>
            </w:tcBorders>
          </w:tcPr>
          <w:p w:rsidR="00625BD7" w:rsidRPr="00E210ED" w:rsidRDefault="00625BD7" w:rsidP="00BF6D22">
            <w:pPr>
              <w:jc w:val="center"/>
              <w:rPr>
                <w:rFonts w:ascii="Times New Roman CYR" w:eastAsia="Calibri" w:hAnsi="Times New Roman CYR" w:cs="Times New Roman CYR"/>
                <w:sz w:val="24"/>
                <w:szCs w:val="24"/>
              </w:rPr>
            </w:pPr>
          </w:p>
          <w:p w:rsidR="00625BD7" w:rsidRPr="00E210ED" w:rsidRDefault="00625BD7" w:rsidP="00BF6D22">
            <w:pPr>
              <w:jc w:val="center"/>
              <w:rPr>
                <w:rFonts w:eastAsia="Calibri"/>
              </w:rPr>
            </w:pPr>
            <w:hyperlink r:id="rId22"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25BD7" w:rsidRPr="00E210ED" w:rsidRDefault="00625BD7" w:rsidP="00BF6D22">
            <w:pPr>
              <w:jc w:val="center"/>
              <w:rPr>
                <w:rFonts w:eastAsia="Calibri"/>
              </w:rPr>
            </w:pPr>
            <w:r w:rsidRPr="00E210ED">
              <w:rPr>
                <w:rFonts w:eastAsia="Calibri"/>
                <w:noProof/>
              </w:rPr>
              <w:drawing>
                <wp:inline distT="0" distB="0" distL="0" distR="0" wp14:anchorId="61C1E0D7" wp14:editId="65DB77B6">
                  <wp:extent cx="2806700" cy="187325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12499" w:rsidRDefault="0031249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A055D" w:rsidRDefault="002A05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2A055D">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AFC" w:rsidRDefault="008C3AFC" w:rsidP="0042039E">
      <w:pPr>
        <w:spacing w:after="0" w:line="240" w:lineRule="auto"/>
      </w:pPr>
      <w:r>
        <w:separator/>
      </w:r>
    </w:p>
  </w:endnote>
  <w:endnote w:type="continuationSeparator" w:id="0">
    <w:p w:rsidR="008C3AFC" w:rsidRDefault="008C3AFC" w:rsidP="00420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9E" w:rsidRDefault="0042039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9E" w:rsidRDefault="0042039E" w:rsidP="0042039E">
    <w:pPr>
      <w:pStyle w:val="a5"/>
    </w:pPr>
    <w:r>
      <w:t xml:space="preserve">Вернуться в каталог готовых дипломов и магистерских диссертаций </w:t>
    </w:r>
  </w:p>
  <w:p w:rsidR="0042039E" w:rsidRDefault="0042039E" w:rsidP="0042039E">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9E" w:rsidRDefault="0042039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AFC" w:rsidRDefault="008C3AFC" w:rsidP="0042039E">
      <w:pPr>
        <w:spacing w:after="0" w:line="240" w:lineRule="auto"/>
      </w:pPr>
      <w:r>
        <w:separator/>
      </w:r>
    </w:p>
  </w:footnote>
  <w:footnote w:type="continuationSeparator" w:id="0">
    <w:p w:rsidR="008C3AFC" w:rsidRDefault="008C3AFC" w:rsidP="00420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9E" w:rsidRDefault="0042039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E8" w:rsidRDefault="00E003E8" w:rsidP="00E003E8">
    <w:pPr>
      <w:pStyle w:val="a3"/>
    </w:pPr>
    <w:r>
      <w:t>Узнайте стоимость написания на заказ студенческих и аспирантских работ</w:t>
    </w:r>
  </w:p>
  <w:p w:rsidR="0042039E" w:rsidRDefault="00E003E8" w:rsidP="00E003E8">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9E" w:rsidRDefault="0042039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EBC"/>
    <w:rsid w:val="000745C6"/>
    <w:rsid w:val="001B7EBC"/>
    <w:rsid w:val="002A055D"/>
    <w:rsid w:val="00312499"/>
    <w:rsid w:val="0042039E"/>
    <w:rsid w:val="00625BD7"/>
    <w:rsid w:val="008C3AFC"/>
    <w:rsid w:val="00C17E17"/>
    <w:rsid w:val="00E003E8"/>
    <w:rsid w:val="00F70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03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2039E"/>
  </w:style>
  <w:style w:type="paragraph" w:styleId="a5">
    <w:name w:val="footer"/>
    <w:basedOn w:val="a"/>
    <w:link w:val="a6"/>
    <w:uiPriority w:val="99"/>
    <w:unhideWhenUsed/>
    <w:rsid w:val="004203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039E"/>
  </w:style>
  <w:style w:type="paragraph" w:styleId="a7">
    <w:name w:val="Balloon Text"/>
    <w:basedOn w:val="a"/>
    <w:link w:val="a8"/>
    <w:uiPriority w:val="99"/>
    <w:semiHidden/>
    <w:unhideWhenUsed/>
    <w:rsid w:val="00625B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5BD7"/>
    <w:rPr>
      <w:rFonts w:ascii="Tahoma" w:hAnsi="Tahoma" w:cs="Tahoma"/>
      <w:sz w:val="16"/>
      <w:szCs w:val="16"/>
    </w:rPr>
  </w:style>
  <w:style w:type="table" w:customStyle="1" w:styleId="2">
    <w:name w:val="Сетка таблицы2"/>
    <w:basedOn w:val="a1"/>
    <w:uiPriority w:val="59"/>
    <w:rsid w:val="00625BD7"/>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03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2039E"/>
  </w:style>
  <w:style w:type="paragraph" w:styleId="a5">
    <w:name w:val="footer"/>
    <w:basedOn w:val="a"/>
    <w:link w:val="a6"/>
    <w:uiPriority w:val="99"/>
    <w:unhideWhenUsed/>
    <w:rsid w:val="004203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039E"/>
  </w:style>
  <w:style w:type="paragraph" w:styleId="a7">
    <w:name w:val="Balloon Text"/>
    <w:basedOn w:val="a"/>
    <w:link w:val="a8"/>
    <w:uiPriority w:val="99"/>
    <w:semiHidden/>
    <w:unhideWhenUsed/>
    <w:rsid w:val="00625B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5BD7"/>
    <w:rPr>
      <w:rFonts w:ascii="Tahoma" w:hAnsi="Tahoma" w:cs="Tahoma"/>
      <w:sz w:val="16"/>
      <w:szCs w:val="16"/>
    </w:rPr>
  </w:style>
  <w:style w:type="table" w:customStyle="1" w:styleId="2">
    <w:name w:val="Сетка таблицы2"/>
    <w:basedOn w:val="a1"/>
    <w:uiPriority w:val="59"/>
    <w:rsid w:val="00625BD7"/>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5.xm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25400">
          <a:noFill/>
        </a:ln>
      </c:spPr>
    </c:sideWall>
    <c:backWall>
      <c:thickness val="0"/>
      <c:spPr>
        <a:solidFill>
          <a:srgbClr val="FFFFCC"/>
        </a:solidFill>
        <a:ln w="25400">
          <a:noFill/>
        </a:ln>
      </c:spPr>
    </c:backWall>
    <c:plotArea>
      <c:layout>
        <c:manualLayout>
          <c:layoutTarget val="inner"/>
          <c:xMode val="edge"/>
          <c:yMode val="edge"/>
          <c:x val="0.11378002528445007"/>
          <c:y val="4.6082949308755762E-2"/>
          <c:w val="0.86978508217446271"/>
          <c:h val="0.67972350230414746"/>
        </c:manualLayout>
      </c:layout>
      <c:bar3DChart>
        <c:barDir val="col"/>
        <c:grouping val="clustered"/>
        <c:varyColors val="0"/>
        <c:ser>
          <c:idx val="0"/>
          <c:order val="0"/>
          <c:tx>
            <c:strRef>
              <c:f>Sheet1!$A$2</c:f>
              <c:strCache>
                <c:ptCount val="1"/>
                <c:pt idx="0">
                  <c:v>Торговые и складские работники</c:v>
                </c:pt>
              </c:strCache>
            </c:strRef>
          </c:tx>
          <c:spPr>
            <a:solidFill>
              <a:srgbClr val="00CCFF"/>
            </a:solidFill>
            <a:ln w="12699">
              <a:solidFill>
                <a:srgbClr val="000000"/>
              </a:solidFill>
              <a:prstDash val="solid"/>
            </a:ln>
          </c:spPr>
          <c:invertIfNegative val="0"/>
          <c:dLbls>
            <c:spPr>
              <a:noFill/>
              <a:ln w="253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2008г.</c:v>
                </c:pt>
                <c:pt idx="1">
                  <c:v>2009г.</c:v>
                </c:pt>
                <c:pt idx="2">
                  <c:v>2010г.</c:v>
                </c:pt>
              </c:strCache>
            </c:strRef>
          </c:cat>
          <c:val>
            <c:numRef>
              <c:f>Sheet1!$B$2:$E$2</c:f>
              <c:numCache>
                <c:formatCode>General</c:formatCode>
                <c:ptCount val="3"/>
                <c:pt idx="0">
                  <c:v>32</c:v>
                </c:pt>
                <c:pt idx="1">
                  <c:v>33</c:v>
                </c:pt>
                <c:pt idx="2">
                  <c:v>32</c:v>
                </c:pt>
              </c:numCache>
            </c:numRef>
          </c:val>
        </c:ser>
        <c:ser>
          <c:idx val="1"/>
          <c:order val="1"/>
          <c:tx>
            <c:strRef>
              <c:f>Sheet1!$A$3</c:f>
              <c:strCache>
                <c:ptCount val="1"/>
                <c:pt idx="0">
                  <c:v>Руководители</c:v>
                </c:pt>
              </c:strCache>
            </c:strRef>
          </c:tx>
          <c:spPr>
            <a:solidFill>
              <a:srgbClr val="FF8080"/>
            </a:solidFill>
            <a:ln w="12699">
              <a:solidFill>
                <a:srgbClr val="000000"/>
              </a:solidFill>
              <a:prstDash val="solid"/>
            </a:ln>
          </c:spPr>
          <c:invertIfNegative val="0"/>
          <c:dLbls>
            <c:spPr>
              <a:noFill/>
              <a:ln w="253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2008г.</c:v>
                </c:pt>
                <c:pt idx="1">
                  <c:v>2009г.</c:v>
                </c:pt>
                <c:pt idx="2">
                  <c:v>2010г.</c:v>
                </c:pt>
              </c:strCache>
            </c:strRef>
          </c:cat>
          <c:val>
            <c:numRef>
              <c:f>Sheet1!$B$3:$E$3</c:f>
              <c:numCache>
                <c:formatCode>General</c:formatCode>
                <c:ptCount val="3"/>
                <c:pt idx="0">
                  <c:v>8</c:v>
                </c:pt>
                <c:pt idx="1">
                  <c:v>8</c:v>
                </c:pt>
                <c:pt idx="2">
                  <c:v>8</c:v>
                </c:pt>
              </c:numCache>
            </c:numRef>
          </c:val>
        </c:ser>
        <c:ser>
          <c:idx val="2"/>
          <c:order val="2"/>
          <c:tx>
            <c:strRef>
              <c:f>Sheet1!$A$4</c:f>
              <c:strCache>
                <c:ptCount val="1"/>
                <c:pt idx="0">
                  <c:v>Технический и обслуживающий персонал</c:v>
                </c:pt>
              </c:strCache>
            </c:strRef>
          </c:tx>
          <c:spPr>
            <a:solidFill>
              <a:srgbClr val="CC99FF"/>
            </a:solidFill>
            <a:ln w="12699">
              <a:solidFill>
                <a:srgbClr val="000000"/>
              </a:solidFill>
              <a:prstDash val="solid"/>
            </a:ln>
          </c:spPr>
          <c:invertIfNegative val="0"/>
          <c:dLbls>
            <c:spPr>
              <a:noFill/>
              <a:ln w="253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2008г.</c:v>
                </c:pt>
                <c:pt idx="1">
                  <c:v>2009г.</c:v>
                </c:pt>
                <c:pt idx="2">
                  <c:v>2010г.</c:v>
                </c:pt>
              </c:strCache>
            </c:strRef>
          </c:cat>
          <c:val>
            <c:numRef>
              <c:f>Sheet1!$B$4:$E$4</c:f>
              <c:numCache>
                <c:formatCode>General</c:formatCode>
                <c:ptCount val="3"/>
                <c:pt idx="0">
                  <c:v>10</c:v>
                </c:pt>
                <c:pt idx="1">
                  <c:v>11</c:v>
                </c:pt>
                <c:pt idx="2">
                  <c:v>9</c:v>
                </c:pt>
              </c:numCache>
            </c:numRef>
          </c:val>
        </c:ser>
        <c:ser>
          <c:idx val="3"/>
          <c:order val="3"/>
          <c:tx>
            <c:strRef>
              <c:f>Sheet1!$A$5</c:f>
              <c:strCache>
                <c:ptCount val="1"/>
                <c:pt idx="0">
                  <c:v>Специалисты</c:v>
                </c:pt>
              </c:strCache>
            </c:strRef>
          </c:tx>
          <c:spPr>
            <a:solidFill>
              <a:srgbClr val="993366"/>
            </a:solidFill>
            <a:ln w="12699">
              <a:solidFill>
                <a:srgbClr val="000000"/>
              </a:solidFill>
              <a:prstDash val="solid"/>
            </a:ln>
          </c:spPr>
          <c:invertIfNegative val="0"/>
          <c:dLbls>
            <c:spPr>
              <a:noFill/>
              <a:ln w="25398">
                <a:noFill/>
              </a:ln>
            </c:spPr>
            <c:txPr>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3"/>
                <c:pt idx="0">
                  <c:v>2008г.</c:v>
                </c:pt>
                <c:pt idx="1">
                  <c:v>2009г.</c:v>
                </c:pt>
                <c:pt idx="2">
                  <c:v>2010г.</c:v>
                </c:pt>
              </c:strCache>
            </c:strRef>
          </c:cat>
          <c:val>
            <c:numRef>
              <c:f>Sheet1!$B$5:$E$5</c:f>
              <c:numCache>
                <c:formatCode>General</c:formatCode>
                <c:ptCount val="3"/>
                <c:pt idx="0">
                  <c:v>3</c:v>
                </c:pt>
                <c:pt idx="1">
                  <c:v>3</c:v>
                </c:pt>
                <c:pt idx="2">
                  <c:v>3</c:v>
                </c:pt>
              </c:numCache>
            </c:numRef>
          </c:val>
        </c:ser>
        <c:dLbls>
          <c:showLegendKey val="0"/>
          <c:showVal val="1"/>
          <c:showCatName val="0"/>
          <c:showSerName val="0"/>
          <c:showPercent val="0"/>
          <c:showBubbleSize val="0"/>
        </c:dLbls>
        <c:gapWidth val="150"/>
        <c:gapDepth val="0"/>
        <c:shape val="box"/>
        <c:axId val="234013440"/>
        <c:axId val="234014976"/>
        <c:axId val="0"/>
      </c:bar3DChart>
      <c:catAx>
        <c:axId val="234013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4014976"/>
        <c:crosses val="autoZero"/>
        <c:auto val="1"/>
        <c:lblAlgn val="ctr"/>
        <c:lblOffset val="100"/>
        <c:tickLblSkip val="1"/>
        <c:tickMarkSkip val="1"/>
        <c:noMultiLvlLbl val="0"/>
      </c:catAx>
      <c:valAx>
        <c:axId val="234014976"/>
        <c:scaling>
          <c:orientation val="minMax"/>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t>Удельный вес, %</a:t>
                </a:r>
              </a:p>
            </c:rich>
          </c:tx>
          <c:layout>
            <c:manualLayout>
              <c:xMode val="edge"/>
              <c:yMode val="edge"/>
              <c:x val="4.804045512010114E-2"/>
              <c:y val="0.1889400921658986"/>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4013440"/>
        <c:crosses val="autoZero"/>
        <c:crossBetween val="between"/>
      </c:valAx>
      <c:spPr>
        <a:noFill/>
        <a:ln w="25398">
          <a:noFill/>
        </a:ln>
      </c:spPr>
    </c:plotArea>
    <c:legend>
      <c:legendPos val="b"/>
      <c:layout>
        <c:manualLayout>
          <c:xMode val="edge"/>
          <c:yMode val="edge"/>
          <c:x val="8.8495575221238937E-3"/>
          <c:y val="0.85483870967741937"/>
          <c:w val="0.98103666245259169"/>
          <c:h val="0.14055299539170507"/>
        </c:manualLayout>
      </c:layout>
      <c:overlay val="0"/>
      <c:spPr>
        <a:noFill/>
        <a:ln w="25398">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2426900584795321"/>
          <c:y val="6.3775510204081634E-2"/>
          <c:w val="0.85672514619883045"/>
          <c:h val="0.52806122448979587"/>
        </c:manualLayout>
      </c:layout>
      <c:bar3DChart>
        <c:barDir val="col"/>
        <c:grouping val="clustered"/>
        <c:varyColors val="0"/>
        <c:ser>
          <c:idx val="0"/>
          <c:order val="0"/>
          <c:tx>
            <c:strRef>
              <c:f>Sheet1!$A$2</c:f>
              <c:strCache>
                <c:ptCount val="1"/>
                <c:pt idx="0">
                  <c:v>2008г.</c:v>
                </c:pt>
              </c:strCache>
            </c:strRef>
          </c:tx>
          <c:spPr>
            <a:solidFill>
              <a:srgbClr val="993366"/>
            </a:solidFill>
            <a:ln w="12699">
              <a:solidFill>
                <a:srgbClr val="000000"/>
              </a:solidFill>
              <a:prstDash val="solid"/>
            </a:ln>
          </c:spPr>
          <c:invertIfNegative val="0"/>
          <c:dLbls>
            <c:spPr>
              <a:noFill/>
              <a:ln w="25399">
                <a:noFill/>
              </a:ln>
            </c:spPr>
            <c:txPr>
              <a:bodyPr/>
              <a:lstStyle/>
              <a:p>
                <a:pPr>
                  <a:defRPr sz="11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Коэффициент по приему</c:v>
                </c:pt>
                <c:pt idx="1">
                  <c:v>Коэффициент по выбытию</c:v>
                </c:pt>
                <c:pt idx="2">
                  <c:v>Коэффициент текучести кадров</c:v>
                </c:pt>
              </c:strCache>
            </c:strRef>
          </c:cat>
          <c:val>
            <c:numRef>
              <c:f>Sheet1!$B$2:$D$2</c:f>
              <c:numCache>
                <c:formatCode>General</c:formatCode>
                <c:ptCount val="3"/>
                <c:pt idx="0">
                  <c:v>15</c:v>
                </c:pt>
                <c:pt idx="1">
                  <c:v>16.7</c:v>
                </c:pt>
                <c:pt idx="2">
                  <c:v>19.2</c:v>
                </c:pt>
              </c:numCache>
            </c:numRef>
          </c:val>
        </c:ser>
        <c:ser>
          <c:idx val="1"/>
          <c:order val="1"/>
          <c:tx>
            <c:strRef>
              <c:f>Sheet1!$A$3</c:f>
              <c:strCache>
                <c:ptCount val="1"/>
                <c:pt idx="0">
                  <c:v>2009г.</c:v>
                </c:pt>
              </c:strCache>
            </c:strRef>
          </c:tx>
          <c:spPr>
            <a:solidFill>
              <a:srgbClr val="CCFFFF"/>
            </a:solidFill>
            <a:ln w="12699">
              <a:solidFill>
                <a:srgbClr val="000000"/>
              </a:solidFill>
              <a:prstDash val="solid"/>
            </a:ln>
          </c:spPr>
          <c:invertIfNegative val="0"/>
          <c:dLbls>
            <c:spPr>
              <a:noFill/>
              <a:ln w="25399">
                <a:noFill/>
              </a:ln>
            </c:spPr>
            <c:txPr>
              <a:bodyPr/>
              <a:lstStyle/>
              <a:p>
                <a:pPr>
                  <a:defRPr sz="11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Коэффициент по приему</c:v>
                </c:pt>
                <c:pt idx="1">
                  <c:v>Коэффициент по выбытию</c:v>
                </c:pt>
                <c:pt idx="2">
                  <c:v>Коэффициент текучести кадров</c:v>
                </c:pt>
              </c:strCache>
            </c:strRef>
          </c:cat>
          <c:val>
            <c:numRef>
              <c:f>Sheet1!$B$3:$D$3</c:f>
              <c:numCache>
                <c:formatCode>General</c:formatCode>
                <c:ptCount val="3"/>
                <c:pt idx="0">
                  <c:v>17</c:v>
                </c:pt>
                <c:pt idx="1">
                  <c:v>14.8</c:v>
                </c:pt>
                <c:pt idx="2">
                  <c:v>17.3</c:v>
                </c:pt>
              </c:numCache>
            </c:numRef>
          </c:val>
        </c:ser>
        <c:ser>
          <c:idx val="2"/>
          <c:order val="2"/>
          <c:tx>
            <c:strRef>
              <c:f>Sheet1!$A$4</c:f>
              <c:strCache>
                <c:ptCount val="1"/>
                <c:pt idx="0">
                  <c:v>2010г.</c:v>
                </c:pt>
              </c:strCache>
            </c:strRef>
          </c:tx>
          <c:spPr>
            <a:solidFill>
              <a:srgbClr val="CC99FF"/>
            </a:solidFill>
            <a:ln w="12699">
              <a:solidFill>
                <a:srgbClr val="000000"/>
              </a:solidFill>
              <a:prstDash val="solid"/>
            </a:ln>
          </c:spPr>
          <c:invertIfNegative val="0"/>
          <c:dLbls>
            <c:spPr>
              <a:noFill/>
              <a:ln w="25399">
                <a:noFill/>
              </a:ln>
            </c:spPr>
            <c:txPr>
              <a:bodyPr/>
              <a:lstStyle/>
              <a:p>
                <a:pPr>
                  <a:defRPr sz="11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Коэффициент по приему</c:v>
                </c:pt>
                <c:pt idx="1">
                  <c:v>Коэффициент по выбытию</c:v>
                </c:pt>
                <c:pt idx="2">
                  <c:v>Коэффициент текучести кадров</c:v>
                </c:pt>
              </c:strCache>
            </c:strRef>
          </c:cat>
          <c:val>
            <c:numRef>
              <c:f>Sheet1!$B$4:$D$4</c:f>
              <c:numCache>
                <c:formatCode>General</c:formatCode>
                <c:ptCount val="3"/>
                <c:pt idx="0">
                  <c:v>13.2</c:v>
                </c:pt>
                <c:pt idx="1">
                  <c:v>13</c:v>
                </c:pt>
                <c:pt idx="2">
                  <c:v>11.5</c:v>
                </c:pt>
              </c:numCache>
            </c:numRef>
          </c:val>
        </c:ser>
        <c:dLbls>
          <c:showLegendKey val="0"/>
          <c:showVal val="1"/>
          <c:showCatName val="0"/>
          <c:showSerName val="0"/>
          <c:showPercent val="0"/>
          <c:showBubbleSize val="0"/>
        </c:dLbls>
        <c:gapWidth val="150"/>
        <c:gapDepth val="0"/>
        <c:shape val="box"/>
        <c:axId val="234109184"/>
        <c:axId val="234110976"/>
        <c:axId val="0"/>
      </c:bar3DChart>
      <c:catAx>
        <c:axId val="234109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ru-RU"/>
          </a:p>
        </c:txPr>
        <c:crossAx val="234110976"/>
        <c:crosses val="autoZero"/>
        <c:auto val="1"/>
        <c:lblAlgn val="ctr"/>
        <c:lblOffset val="100"/>
        <c:tickLblSkip val="1"/>
        <c:tickMarkSkip val="1"/>
        <c:noMultiLvlLbl val="0"/>
      </c:catAx>
      <c:valAx>
        <c:axId val="234110976"/>
        <c:scaling>
          <c:orientation val="minMax"/>
        </c:scaling>
        <c:delete val="0"/>
        <c:axPos val="l"/>
        <c:majorGridlines>
          <c:spPr>
            <a:ln w="3175">
              <a:solidFill>
                <a:srgbClr val="000000"/>
              </a:solidFill>
              <a:prstDash val="solid"/>
            </a:ln>
          </c:spPr>
        </c:majorGridlines>
        <c:title>
          <c:tx>
            <c:rich>
              <a:bodyPr/>
              <a:lstStyle/>
              <a:p>
                <a:pPr>
                  <a:defRPr sz="975" b="0" i="0" u="none" strike="noStrike" baseline="0">
                    <a:solidFill>
                      <a:srgbClr val="000000"/>
                    </a:solidFill>
                    <a:latin typeface="Times New Roman"/>
                    <a:ea typeface="Times New Roman"/>
                    <a:cs typeface="Times New Roman"/>
                  </a:defRPr>
                </a:pPr>
                <a:r>
                  <a:t>Значение показателя, %</a:t>
                </a:r>
              </a:p>
            </c:rich>
          </c:tx>
          <c:layout>
            <c:manualLayout>
              <c:xMode val="edge"/>
              <c:yMode val="edge"/>
              <c:x val="0.10964912280701754"/>
              <c:y val="9.6938775510204078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ru-RU"/>
          </a:p>
        </c:txPr>
        <c:crossAx val="234109184"/>
        <c:crosses val="autoZero"/>
        <c:crossBetween val="between"/>
      </c:valAx>
      <c:spPr>
        <a:noFill/>
        <a:ln w="25399">
          <a:noFill/>
        </a:ln>
      </c:spPr>
    </c:plotArea>
    <c:legend>
      <c:legendPos val="b"/>
      <c:layout>
        <c:manualLayout>
          <c:xMode val="edge"/>
          <c:yMode val="edge"/>
          <c:x val="0.29678362573099415"/>
          <c:y val="0.90306122448979587"/>
          <c:w val="0.40497076023391815"/>
          <c:h val="9.1836734693877556E-2"/>
        </c:manualLayout>
      </c:layout>
      <c:overlay val="0"/>
      <c:spPr>
        <a:solidFill>
          <a:srgbClr val="FFFFFF"/>
        </a:solidFill>
        <a:ln w="25399">
          <a:noFill/>
        </a:ln>
      </c:spPr>
      <c:txPr>
        <a:bodyPr/>
        <a:lstStyle/>
        <a:p>
          <a:pPr>
            <a:defRPr sz="10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4864864864864866"/>
          <c:y val="2.6119402985074626E-2"/>
          <c:w val="0.83538083538083541"/>
          <c:h val="0.81343283582089554"/>
        </c:manualLayout>
      </c:layout>
      <c:bar3DChart>
        <c:barDir val="col"/>
        <c:grouping val="clustered"/>
        <c:varyColors val="0"/>
        <c:ser>
          <c:idx val="0"/>
          <c:order val="0"/>
          <c:tx>
            <c:strRef>
              <c:f>Sheet1!$A$2</c:f>
              <c:strCache>
                <c:ptCount val="1"/>
                <c:pt idx="0">
                  <c:v>Отчетный период</c:v>
                </c:pt>
              </c:strCache>
            </c:strRef>
          </c:tx>
          <c:spPr>
            <a:solidFill>
              <a:srgbClr val="CC99FF"/>
            </a:solidFill>
            <a:ln w="12700">
              <a:solidFill>
                <a:srgbClr val="000000"/>
              </a:solidFill>
              <a:prstDash val="solid"/>
            </a:ln>
          </c:spPr>
          <c:invertIfNegative val="0"/>
          <c:dLbls>
            <c:spPr>
              <a:noFill/>
              <a:ln w="25399">
                <a:noFill/>
              </a:ln>
            </c:spPr>
            <c:txPr>
              <a:bodyPr/>
              <a:lstStyle/>
              <a:p>
                <a:pPr>
                  <a:defRPr sz="10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Валовая прибаль</c:v>
                </c:pt>
                <c:pt idx="1">
                  <c:v>Прибыль от продаж</c:v>
                </c:pt>
                <c:pt idx="2">
                  <c:v>Чистая прибыль</c:v>
                </c:pt>
              </c:strCache>
            </c:strRef>
          </c:cat>
          <c:val>
            <c:numRef>
              <c:f>Sheet1!$B$2:$E$2</c:f>
              <c:numCache>
                <c:formatCode>General</c:formatCode>
                <c:ptCount val="3"/>
                <c:pt idx="0">
                  <c:v>1698</c:v>
                </c:pt>
                <c:pt idx="1">
                  <c:v>165</c:v>
                </c:pt>
                <c:pt idx="2">
                  <c:v>126</c:v>
                </c:pt>
              </c:numCache>
            </c:numRef>
          </c:val>
        </c:ser>
        <c:ser>
          <c:idx val="1"/>
          <c:order val="1"/>
          <c:tx>
            <c:strRef>
              <c:f>Sheet1!$A$3</c:f>
              <c:strCache>
                <c:ptCount val="1"/>
                <c:pt idx="0">
                  <c:v>Проектный период</c:v>
                </c:pt>
              </c:strCache>
            </c:strRef>
          </c:tx>
          <c:spPr>
            <a:solidFill>
              <a:srgbClr val="00CCFF"/>
            </a:solidFill>
            <a:ln w="12700">
              <a:solidFill>
                <a:srgbClr val="000000"/>
              </a:solidFill>
              <a:prstDash val="solid"/>
            </a:ln>
          </c:spPr>
          <c:invertIfNegative val="0"/>
          <c:dLbls>
            <c:spPr>
              <a:noFill/>
              <a:ln w="25399">
                <a:noFill/>
              </a:ln>
            </c:spPr>
            <c:txPr>
              <a:bodyPr/>
              <a:lstStyle/>
              <a:p>
                <a:pPr>
                  <a:defRPr sz="10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Валовая прибаль</c:v>
                </c:pt>
                <c:pt idx="1">
                  <c:v>Прибыль от продаж</c:v>
                </c:pt>
                <c:pt idx="2">
                  <c:v>Чистая прибыль</c:v>
                </c:pt>
              </c:strCache>
            </c:strRef>
          </c:cat>
          <c:val>
            <c:numRef>
              <c:f>Sheet1!$B$3:$E$3</c:f>
              <c:numCache>
                <c:formatCode>General</c:formatCode>
                <c:ptCount val="3"/>
                <c:pt idx="0">
                  <c:v>17138</c:v>
                </c:pt>
                <c:pt idx="1">
                  <c:v>1362</c:v>
                </c:pt>
                <c:pt idx="2">
                  <c:v>1035</c:v>
                </c:pt>
              </c:numCache>
            </c:numRef>
          </c:val>
        </c:ser>
        <c:dLbls>
          <c:showLegendKey val="0"/>
          <c:showVal val="1"/>
          <c:showCatName val="0"/>
          <c:showSerName val="0"/>
          <c:showPercent val="0"/>
          <c:showBubbleSize val="0"/>
        </c:dLbls>
        <c:gapWidth val="150"/>
        <c:gapDepth val="0"/>
        <c:shape val="box"/>
        <c:axId val="234124416"/>
        <c:axId val="234125952"/>
        <c:axId val="0"/>
      </c:bar3DChart>
      <c:catAx>
        <c:axId val="234124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234125952"/>
        <c:crosses val="autoZero"/>
        <c:auto val="1"/>
        <c:lblAlgn val="ctr"/>
        <c:lblOffset val="100"/>
        <c:tickLblSkip val="1"/>
        <c:tickMarkSkip val="1"/>
        <c:noMultiLvlLbl val="0"/>
      </c:catAx>
      <c:valAx>
        <c:axId val="234125952"/>
        <c:scaling>
          <c:orientation val="minMax"/>
        </c:scaling>
        <c:delete val="0"/>
        <c:axPos val="l"/>
        <c:majorGridlines>
          <c:spPr>
            <a:ln w="3175">
              <a:solidFill>
                <a:srgbClr val="000000"/>
              </a:solidFill>
              <a:prstDash val="solid"/>
            </a:ln>
          </c:spPr>
        </c:majorGridlines>
        <c:title>
          <c:tx>
            <c:rich>
              <a:bodyPr/>
              <a:lstStyle/>
              <a:p>
                <a:pPr>
                  <a:defRPr sz="1025" b="0" i="0" u="none" strike="noStrike" baseline="0">
                    <a:solidFill>
                      <a:srgbClr val="000000"/>
                    </a:solidFill>
                    <a:latin typeface="Times New Roman"/>
                    <a:ea typeface="Times New Roman"/>
                    <a:cs typeface="Times New Roman"/>
                  </a:defRPr>
                </a:pPr>
                <a:r>
                  <a:t>Значение показателей, тыс.руб.</a:t>
                </a:r>
              </a:p>
            </c:rich>
          </c:tx>
          <c:layout>
            <c:manualLayout>
              <c:xMode val="edge"/>
              <c:yMode val="edge"/>
              <c:x val="1.8427518427518427E-2"/>
              <c:y val="0.1865671641791044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ru-RU"/>
          </a:p>
        </c:txPr>
        <c:crossAx val="234124416"/>
        <c:crosses val="autoZero"/>
        <c:crossBetween val="between"/>
      </c:valAx>
      <c:spPr>
        <a:noFill/>
        <a:ln w="25399">
          <a:noFill/>
        </a:ln>
      </c:spPr>
    </c:plotArea>
    <c:legend>
      <c:legendPos val="b"/>
      <c:layout>
        <c:manualLayout>
          <c:xMode val="edge"/>
          <c:yMode val="edge"/>
          <c:x val="0.26044226044226043"/>
          <c:y val="0.93656716417910446"/>
          <c:w val="0.47788697788697787"/>
          <c:h val="5.9701492537313432E-2"/>
        </c:manualLayout>
      </c:layout>
      <c:overlay val="0"/>
      <c:spPr>
        <a:noFill/>
        <a:ln w="25399">
          <a:noFill/>
        </a:ln>
      </c:spPr>
      <c:txPr>
        <a:bodyPr/>
        <a:lstStyle/>
        <a:p>
          <a:pPr>
            <a:defRPr sz="94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FFFF99"/>
        </a:solidFill>
        <a:ln w="25400">
          <a:noFill/>
        </a:ln>
      </c:spPr>
    </c:sideWall>
    <c:backWall>
      <c:thickness val="0"/>
      <c:spPr>
        <a:solidFill>
          <a:srgbClr val="FFFF99"/>
        </a:solidFill>
        <a:ln w="25400">
          <a:noFill/>
        </a:ln>
      </c:spPr>
    </c:backWall>
    <c:plotArea>
      <c:layout>
        <c:manualLayout>
          <c:layoutTarget val="inner"/>
          <c:xMode val="edge"/>
          <c:yMode val="edge"/>
          <c:x val="0.13432835820895522"/>
          <c:y val="4.0284360189573459E-2"/>
          <c:w val="0.84950248756218905"/>
          <c:h val="0.74644549763033174"/>
        </c:manualLayout>
      </c:layout>
      <c:bar3DChart>
        <c:barDir val="col"/>
        <c:grouping val="clustered"/>
        <c:varyColors val="0"/>
        <c:ser>
          <c:idx val="0"/>
          <c:order val="0"/>
          <c:tx>
            <c:strRef>
              <c:f>Sheet1!$A$2</c:f>
              <c:strCache>
                <c:ptCount val="1"/>
                <c:pt idx="0">
                  <c:v>Выручка от продаж</c:v>
                </c:pt>
              </c:strCache>
            </c:strRef>
          </c:tx>
          <c:spPr>
            <a:solidFill>
              <a:srgbClr val="FF00FF"/>
            </a:solidFill>
            <a:ln w="12700">
              <a:solidFill>
                <a:srgbClr val="000000"/>
              </a:solidFill>
              <a:prstDash val="solid"/>
            </a:ln>
          </c:spPr>
          <c:invertIfNegative val="0"/>
          <c:dLbls>
            <c:dLbl>
              <c:idx val="0"/>
              <c:layout>
                <c:manualLayout>
                  <c:xMode val="edge"/>
                  <c:yMode val="edge"/>
                  <c:x val="0.19154228855721392"/>
                  <c:y val="0.34123222748815168"/>
                </c:manualLayout>
              </c:layout>
              <c:showLegendKey val="0"/>
              <c:showVal val="1"/>
              <c:showCatName val="0"/>
              <c:showSerName val="0"/>
              <c:showPercent val="0"/>
              <c:showBubbleSize val="0"/>
            </c:dLbl>
            <c:dLbl>
              <c:idx val="1"/>
              <c:layout>
                <c:manualLayout>
                  <c:xMode val="edge"/>
                  <c:yMode val="edge"/>
                  <c:x val="0.44527363184079605"/>
                  <c:y val="0.26777251184834122"/>
                </c:manualLayout>
              </c:layout>
              <c:showLegendKey val="0"/>
              <c:showVal val="1"/>
              <c:showCatName val="0"/>
              <c:showSerName val="0"/>
              <c:showPercent val="0"/>
              <c:showBubbleSize val="0"/>
            </c:dLbl>
            <c:dLbl>
              <c:idx val="2"/>
              <c:layout>
                <c:manualLayout>
                  <c:xMode val="edge"/>
                  <c:yMode val="edge"/>
                  <c:x val="0.70024875621890548"/>
                  <c:y val="3.0805687203791468E-2"/>
                </c:manualLayout>
              </c:layout>
              <c:showLegendKey val="0"/>
              <c:showVal val="1"/>
              <c:showCatName val="0"/>
              <c:showSerName val="0"/>
              <c:showPercent val="0"/>
              <c:showBubbleSize val="0"/>
            </c:dLbl>
            <c:spPr>
              <a:noFill/>
              <a:ln w="25399">
                <a:noFill/>
              </a:ln>
            </c:spPr>
            <c:txPr>
              <a:bodyPr/>
              <a:lstStyle/>
              <a:p>
                <a:pPr>
                  <a:defRPr sz="10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2008г.</c:v>
                </c:pt>
                <c:pt idx="1">
                  <c:v>2009г.</c:v>
                </c:pt>
                <c:pt idx="2">
                  <c:v>2010г.</c:v>
                </c:pt>
              </c:strCache>
            </c:strRef>
          </c:cat>
          <c:val>
            <c:numRef>
              <c:f>Sheet1!$B$2:$D$2</c:f>
              <c:numCache>
                <c:formatCode>General</c:formatCode>
                <c:ptCount val="3"/>
                <c:pt idx="0">
                  <c:v>18342</c:v>
                </c:pt>
                <c:pt idx="1">
                  <c:v>22241</c:v>
                </c:pt>
                <c:pt idx="2">
                  <c:v>36221</c:v>
                </c:pt>
              </c:numCache>
            </c:numRef>
          </c:val>
        </c:ser>
        <c:ser>
          <c:idx val="1"/>
          <c:order val="1"/>
          <c:tx>
            <c:strRef>
              <c:f>Sheet1!$A$3</c:f>
              <c:strCache>
                <c:ptCount val="1"/>
                <c:pt idx="0">
                  <c:v>Себестоимость продукции</c:v>
                </c:pt>
              </c:strCache>
            </c:strRef>
          </c:tx>
          <c:spPr>
            <a:solidFill>
              <a:srgbClr val="00CCFF"/>
            </a:solidFill>
            <a:ln w="12700">
              <a:solidFill>
                <a:srgbClr val="000000"/>
              </a:solidFill>
              <a:prstDash val="solid"/>
            </a:ln>
          </c:spPr>
          <c:invertIfNegative val="0"/>
          <c:dLbls>
            <c:spPr>
              <a:noFill/>
              <a:ln w="25399">
                <a:noFill/>
              </a:ln>
            </c:spPr>
            <c:txPr>
              <a:bodyPr/>
              <a:lstStyle/>
              <a:p>
                <a:pPr>
                  <a:defRPr sz="10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2008г.</c:v>
                </c:pt>
                <c:pt idx="1">
                  <c:v>2009г.</c:v>
                </c:pt>
                <c:pt idx="2">
                  <c:v>2010г.</c:v>
                </c:pt>
              </c:strCache>
            </c:strRef>
          </c:cat>
          <c:val>
            <c:numRef>
              <c:f>Sheet1!$B$3:$D$3</c:f>
              <c:numCache>
                <c:formatCode>General</c:formatCode>
                <c:ptCount val="3"/>
                <c:pt idx="0">
                  <c:v>16322</c:v>
                </c:pt>
                <c:pt idx="1">
                  <c:v>20257</c:v>
                </c:pt>
                <c:pt idx="2">
                  <c:v>30294</c:v>
                </c:pt>
              </c:numCache>
            </c:numRef>
          </c:val>
        </c:ser>
        <c:ser>
          <c:idx val="2"/>
          <c:order val="2"/>
          <c:tx>
            <c:strRef>
              <c:f>Sheet1!$A$4</c:f>
              <c:strCache>
                <c:ptCount val="1"/>
                <c:pt idx="0">
                  <c:v>Валовая прибыль</c:v>
                </c:pt>
              </c:strCache>
            </c:strRef>
          </c:tx>
          <c:spPr>
            <a:solidFill>
              <a:srgbClr val="FFFFCC"/>
            </a:solidFill>
            <a:ln w="12700">
              <a:solidFill>
                <a:srgbClr val="000000"/>
              </a:solidFill>
              <a:prstDash val="solid"/>
            </a:ln>
          </c:spPr>
          <c:invertIfNegative val="0"/>
          <c:dLbls>
            <c:spPr>
              <a:noFill/>
              <a:ln w="25399">
                <a:noFill/>
              </a:ln>
            </c:spPr>
            <c:txPr>
              <a:bodyPr/>
              <a:lstStyle/>
              <a:p>
                <a:pPr>
                  <a:defRPr sz="10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2008г.</c:v>
                </c:pt>
                <c:pt idx="1">
                  <c:v>2009г.</c:v>
                </c:pt>
                <c:pt idx="2">
                  <c:v>2010г.</c:v>
                </c:pt>
              </c:strCache>
            </c:strRef>
          </c:cat>
          <c:val>
            <c:numRef>
              <c:f>Sheet1!$B$4:$D$4</c:f>
              <c:numCache>
                <c:formatCode>General</c:formatCode>
                <c:ptCount val="3"/>
                <c:pt idx="0">
                  <c:v>1698</c:v>
                </c:pt>
                <c:pt idx="1">
                  <c:v>1983</c:v>
                </c:pt>
                <c:pt idx="2">
                  <c:v>5926</c:v>
                </c:pt>
              </c:numCache>
            </c:numRef>
          </c:val>
        </c:ser>
        <c:dLbls>
          <c:showLegendKey val="0"/>
          <c:showVal val="1"/>
          <c:showCatName val="0"/>
          <c:showSerName val="0"/>
          <c:showPercent val="0"/>
          <c:showBubbleSize val="0"/>
        </c:dLbls>
        <c:gapWidth val="150"/>
        <c:gapDepth val="0"/>
        <c:shape val="box"/>
        <c:axId val="234833792"/>
        <c:axId val="234835328"/>
        <c:axId val="0"/>
      </c:bar3DChart>
      <c:catAx>
        <c:axId val="234833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ru-RU"/>
          </a:p>
        </c:txPr>
        <c:crossAx val="234835328"/>
        <c:crosses val="autoZero"/>
        <c:auto val="1"/>
        <c:lblAlgn val="ctr"/>
        <c:lblOffset val="100"/>
        <c:tickLblSkip val="1"/>
        <c:tickMarkSkip val="1"/>
        <c:noMultiLvlLbl val="0"/>
      </c:catAx>
      <c:valAx>
        <c:axId val="234835328"/>
        <c:scaling>
          <c:orientation val="minMax"/>
        </c:scaling>
        <c:delete val="0"/>
        <c:axPos val="l"/>
        <c:majorGridlines>
          <c:spPr>
            <a:ln w="3175">
              <a:solidFill>
                <a:srgbClr val="000000"/>
              </a:solidFill>
              <a:prstDash val="solid"/>
            </a:ln>
          </c:spPr>
        </c:majorGridlines>
        <c:title>
          <c:tx>
            <c:rich>
              <a:bodyPr/>
              <a:lstStyle/>
              <a:p>
                <a:pPr>
                  <a:defRPr sz="925" b="0" i="0" u="none" strike="noStrike" baseline="0">
                    <a:solidFill>
                      <a:srgbClr val="000000"/>
                    </a:solidFill>
                    <a:latin typeface="Times New Roman"/>
                    <a:ea typeface="Times New Roman"/>
                    <a:cs typeface="Times New Roman"/>
                  </a:defRPr>
                </a:pPr>
                <a:r>
                  <a:t>Величина показателя, тыс. руб.</a:t>
                </a:r>
              </a:p>
            </c:rich>
          </c:tx>
          <c:layout>
            <c:manualLayout>
              <c:xMode val="edge"/>
              <c:yMode val="edge"/>
              <c:x val="2.6119402985074626E-2"/>
              <c:y val="0.1232227488151658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234833792"/>
        <c:crosses val="autoZero"/>
        <c:crossBetween val="between"/>
      </c:valAx>
      <c:spPr>
        <a:noFill/>
        <a:ln w="25399">
          <a:noFill/>
        </a:ln>
      </c:spPr>
    </c:plotArea>
    <c:legend>
      <c:legendPos val="b"/>
      <c:layout>
        <c:manualLayout>
          <c:xMode val="edge"/>
          <c:yMode val="edge"/>
          <c:x val="0.12437810945273632"/>
          <c:y val="0.92417061611374407"/>
          <c:w val="0.75"/>
          <c:h val="7.1090047393364927E-2"/>
        </c:manualLayout>
      </c:layout>
      <c:overlay val="0"/>
      <c:spPr>
        <a:noFill/>
        <a:ln w="25399">
          <a:noFill/>
        </a:ln>
      </c:spPr>
      <c:txPr>
        <a:bodyPr/>
        <a:lstStyle/>
        <a:p>
          <a:pPr>
            <a:defRPr sz="85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25400">
          <a:noFill/>
        </a:ln>
      </c:spPr>
    </c:sideWall>
    <c:backWall>
      <c:thickness val="0"/>
      <c:spPr>
        <a:solidFill>
          <a:srgbClr val="FFFFCC"/>
        </a:solidFill>
        <a:ln w="25400">
          <a:noFill/>
        </a:ln>
      </c:spPr>
    </c:backWall>
    <c:plotArea>
      <c:layout>
        <c:manualLayout>
          <c:layoutTarget val="inner"/>
          <c:xMode val="edge"/>
          <c:yMode val="edge"/>
          <c:x val="0.14925373134328357"/>
          <c:y val="4.1071428571428571E-2"/>
          <c:w val="0.83457711442786064"/>
          <c:h val="0.70892857142857146"/>
        </c:manualLayout>
      </c:layout>
      <c:bar3DChart>
        <c:barDir val="col"/>
        <c:grouping val="clustered"/>
        <c:varyColors val="0"/>
        <c:ser>
          <c:idx val="0"/>
          <c:order val="0"/>
          <c:tx>
            <c:strRef>
              <c:f>Sheet1!$A$2</c:f>
              <c:strCache>
                <c:ptCount val="1"/>
                <c:pt idx="0">
                  <c:v>Валовая прибыль</c:v>
                </c:pt>
              </c:strCache>
            </c:strRef>
          </c:tx>
          <c:spPr>
            <a:solidFill>
              <a:srgbClr val="00CCFF"/>
            </a:soli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2008u/</c:v>
                </c:pt>
                <c:pt idx="1">
                  <c:v>2009u/</c:v>
                </c:pt>
                <c:pt idx="2">
                  <c:v>2010u/</c:v>
                </c:pt>
              </c:strCache>
            </c:strRef>
          </c:cat>
          <c:val>
            <c:numRef>
              <c:f>Sheet1!$B$2:$D$2</c:f>
              <c:numCache>
                <c:formatCode>General</c:formatCode>
                <c:ptCount val="3"/>
                <c:pt idx="0">
                  <c:v>1698</c:v>
                </c:pt>
                <c:pt idx="1">
                  <c:v>1983</c:v>
                </c:pt>
                <c:pt idx="2">
                  <c:v>5926</c:v>
                </c:pt>
              </c:numCache>
            </c:numRef>
          </c:val>
        </c:ser>
        <c:ser>
          <c:idx val="1"/>
          <c:order val="1"/>
          <c:tx>
            <c:strRef>
              <c:f>Sheet1!$A$3</c:f>
              <c:strCache>
                <c:ptCount val="1"/>
                <c:pt idx="0">
                  <c:v>Прибыль от реализации</c:v>
                </c:pt>
              </c:strCache>
            </c:strRef>
          </c:tx>
          <c:spPr>
            <a:solidFill>
              <a:srgbClr val="993366"/>
            </a:solidFill>
            <a:ln w="12700">
              <a:solidFill>
                <a:srgbClr val="000000"/>
              </a:solidFill>
              <a:prstDash val="solid"/>
            </a:ln>
          </c:spPr>
          <c:invertIfNegative val="0"/>
          <c:dLbls>
            <c:spPr>
              <a:solidFill>
                <a:srgbClr val="993366"/>
              </a:solid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2008u/</c:v>
                </c:pt>
                <c:pt idx="1">
                  <c:v>2009u/</c:v>
                </c:pt>
                <c:pt idx="2">
                  <c:v>2010u/</c:v>
                </c:pt>
              </c:strCache>
            </c:strRef>
          </c:cat>
          <c:val>
            <c:numRef>
              <c:f>Sheet1!$B$3:$D$3</c:f>
              <c:numCache>
                <c:formatCode>General</c:formatCode>
                <c:ptCount val="3"/>
                <c:pt idx="0">
                  <c:v>165</c:v>
                </c:pt>
                <c:pt idx="1">
                  <c:v>213</c:v>
                </c:pt>
                <c:pt idx="2">
                  <c:v>552</c:v>
                </c:pt>
              </c:numCache>
            </c:numRef>
          </c:val>
        </c:ser>
        <c:ser>
          <c:idx val="2"/>
          <c:order val="2"/>
          <c:tx>
            <c:strRef>
              <c:f>Sheet1!$A$4</c:f>
              <c:strCache>
                <c:ptCount val="1"/>
                <c:pt idx="0">
                  <c:v>Прибыль до налогообложения</c:v>
                </c:pt>
              </c:strCache>
            </c:strRef>
          </c:tx>
          <c:spPr>
            <a:solidFill>
              <a:srgbClr val="FFFFCC"/>
            </a:soli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2008u/</c:v>
                </c:pt>
                <c:pt idx="1">
                  <c:v>2009u/</c:v>
                </c:pt>
                <c:pt idx="2">
                  <c:v>2010u/</c:v>
                </c:pt>
              </c:strCache>
            </c:strRef>
          </c:cat>
          <c:val>
            <c:numRef>
              <c:f>Sheet1!$B$4:$D$4</c:f>
              <c:numCache>
                <c:formatCode>General</c:formatCode>
                <c:ptCount val="3"/>
                <c:pt idx="0">
                  <c:v>195</c:v>
                </c:pt>
                <c:pt idx="1">
                  <c:v>208</c:v>
                </c:pt>
                <c:pt idx="2">
                  <c:v>416</c:v>
                </c:pt>
              </c:numCache>
            </c:numRef>
          </c:val>
        </c:ser>
        <c:ser>
          <c:idx val="3"/>
          <c:order val="3"/>
          <c:tx>
            <c:strRef>
              <c:f>Sheet1!$A$5</c:f>
              <c:strCache>
                <c:ptCount val="1"/>
                <c:pt idx="0">
                  <c:v>Чистая прибыль</c:v>
                </c:pt>
              </c:strCache>
            </c:strRef>
          </c:tx>
          <c:spPr>
            <a:solidFill>
              <a:srgbClr val="3366FF"/>
            </a:soli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2008u/</c:v>
                </c:pt>
                <c:pt idx="1">
                  <c:v>2009u/</c:v>
                </c:pt>
                <c:pt idx="2">
                  <c:v>2010u/</c:v>
                </c:pt>
              </c:strCache>
            </c:strRef>
          </c:cat>
          <c:val>
            <c:numRef>
              <c:f>Sheet1!$B$5:$D$5</c:f>
              <c:numCache>
                <c:formatCode>General</c:formatCode>
                <c:ptCount val="3"/>
                <c:pt idx="0">
                  <c:v>126</c:v>
                </c:pt>
                <c:pt idx="1">
                  <c:v>172</c:v>
                </c:pt>
                <c:pt idx="2">
                  <c:v>376</c:v>
                </c:pt>
              </c:numCache>
            </c:numRef>
          </c:val>
        </c:ser>
        <c:dLbls>
          <c:showLegendKey val="0"/>
          <c:showVal val="1"/>
          <c:showCatName val="0"/>
          <c:showSerName val="0"/>
          <c:showPercent val="0"/>
          <c:showBubbleSize val="0"/>
        </c:dLbls>
        <c:gapWidth val="150"/>
        <c:gapDepth val="0"/>
        <c:shape val="box"/>
        <c:axId val="235859968"/>
        <c:axId val="235861504"/>
        <c:axId val="0"/>
      </c:bar3DChart>
      <c:catAx>
        <c:axId val="235859968"/>
        <c:scaling>
          <c:orientation val="minMax"/>
        </c:scaling>
        <c:delete val="0"/>
        <c:axPos val="b"/>
        <c:numFmt formatCode="General" sourceLinked="1"/>
        <c:majorTickMark val="out"/>
        <c:minorTickMark val="none"/>
        <c:tickLblPos val="low"/>
        <c:spPr>
          <a:ln w="9525">
            <a:noFill/>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35861504"/>
        <c:crosses val="autoZero"/>
        <c:auto val="1"/>
        <c:lblAlgn val="ctr"/>
        <c:lblOffset val="100"/>
        <c:tickLblSkip val="1"/>
        <c:tickMarkSkip val="1"/>
        <c:noMultiLvlLbl val="0"/>
      </c:catAx>
      <c:valAx>
        <c:axId val="235861504"/>
        <c:scaling>
          <c:orientation val="minMax"/>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Times New Roman"/>
                    <a:ea typeface="Times New Roman"/>
                    <a:cs typeface="Times New Roman"/>
                  </a:defRPr>
                </a:pPr>
                <a:r>
                  <a:t>Величина показателя, тыс. руб.</a:t>
                </a:r>
              </a:p>
            </c:rich>
          </c:tx>
          <c:layout>
            <c:manualLayout>
              <c:xMode val="edge"/>
              <c:yMode val="edge"/>
              <c:x val="2.1144278606965175E-2"/>
              <c:y val="0.112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35859968"/>
        <c:crosses val="autoZero"/>
        <c:crossBetween val="between"/>
      </c:valAx>
      <c:spPr>
        <a:noFill/>
        <a:ln w="25400">
          <a:noFill/>
        </a:ln>
      </c:spPr>
    </c:plotArea>
    <c:legend>
      <c:legendPos val="b"/>
      <c:layout>
        <c:manualLayout>
          <c:xMode val="edge"/>
          <c:yMode val="edge"/>
          <c:x val="6.965174129353234E-2"/>
          <c:y val="0.8660714285714286"/>
          <c:w val="0.86069651741293529"/>
          <c:h val="0.13035714285714287"/>
        </c:manualLayout>
      </c:layout>
      <c:overlay val="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5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13249</Words>
  <Characters>75521</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2023-02-12T14:34:00Z</dcterms:created>
  <dcterms:modified xsi:type="dcterms:W3CDTF">2023-05-12T04:05:00Z</dcterms:modified>
</cp:coreProperties>
</file>