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6F9" w:rsidRDefault="00BC46F9">
      <w:pPr>
        <w:widowControl w:val="0"/>
        <w:shd w:val="clear" w:color="auto" w:fill="FFFFFF"/>
        <w:autoSpaceDE w:val="0"/>
        <w:autoSpaceDN w:val="0"/>
        <w:adjustRightInd w:val="0"/>
        <w:spacing w:after="0" w:line="360" w:lineRule="auto"/>
        <w:ind w:firstLine="709"/>
        <w:jc w:val="center"/>
        <w:rPr>
          <w:rFonts w:ascii="Times New Roman CYR" w:hAnsi="Times New Roman CYR" w:cs="Times New Roman CYR"/>
          <w:color w:val="000000"/>
          <w:sz w:val="28"/>
          <w:szCs w:val="28"/>
        </w:rPr>
      </w:pPr>
    </w:p>
    <w:p w:rsidR="00BC46F9" w:rsidRDefault="00BC46F9" w:rsidP="00BE410E">
      <w:pPr>
        <w:pStyle w:val="1"/>
        <w:jc w:val="center"/>
      </w:pPr>
      <w:r>
        <w:t>Формирование стратегических решений по итогам стратегического анализа в инвестиционно-строительной организации</w:t>
      </w:r>
    </w:p>
    <w:p w:rsidR="00BC46F9" w:rsidRPr="00E76665" w:rsidRDefault="00335A72" w:rsidP="00335A72">
      <w:pPr>
        <w:widowControl w:val="0"/>
        <w:autoSpaceDE w:val="0"/>
        <w:autoSpaceDN w:val="0"/>
        <w:adjustRightInd w:val="0"/>
        <w:jc w:val="center"/>
        <w:rPr>
          <w:rFonts w:ascii="Times New Roman CYR" w:hAnsi="Times New Roman CYR" w:cs="Times New Roman CYR"/>
          <w:color w:val="000000"/>
          <w:sz w:val="28"/>
          <w:szCs w:val="28"/>
        </w:rPr>
      </w:pPr>
      <w:r w:rsidRPr="00E76665">
        <w:rPr>
          <w:rFonts w:ascii="Times New Roman CYR" w:hAnsi="Times New Roman CYR" w:cs="Times New Roman CYR"/>
          <w:color w:val="000000"/>
          <w:sz w:val="28"/>
          <w:szCs w:val="28"/>
        </w:rPr>
        <w:t>2014</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Введение</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35A72" w:rsidRPr="00E710DD"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Актуальность темы курсовой работы связана с тем, что прогресс в области промышленного и гражданского строительства в России способствует принятию энергетических и ресурсосберегающих архитектурно-технических решений, выполнению многих различных проектов нового строительства, реконструкции работающих и созданию новых производств различных видов строительной продукции, регулированию стоимостных показателей сооружения объектов в условиях жестких договорных обязательств, в связи с чем актуализируются проблемы стратегического анализа управления реализацией строительных проектов. Но несмотря на значительное усовершенствование научной, методической и нормативной базы в сфере управления строительными проектами, несвоевременный ввод объектов в эксплуатацию и превышение первоначальной стоимости проектов в процессе их реализации остается достаточно распространенным явлением. Это объясняется многими причинами, в частности недостатками существующей методологии и аналитики стратегического управления проектами. </w:t>
      </w:r>
    </w:p>
    <w:p w:rsidR="00A2684E" w:rsidRPr="00A2684E" w:rsidRDefault="00344A0B" w:rsidP="00A2684E">
      <w:pPr>
        <w:rPr>
          <w:rFonts w:eastAsiaTheme="minorHAnsi" w:cstheme="minorBidi"/>
          <w:b/>
          <w:sz w:val="32"/>
          <w:szCs w:val="32"/>
          <w:lang w:eastAsia="en-US"/>
        </w:rPr>
      </w:pPr>
      <w:hyperlink r:id="rId8" w:history="1">
        <w:r w:rsidR="00A2684E" w:rsidRPr="00A2684E">
          <w:rPr>
            <w:rFonts w:ascii="Calibri" w:eastAsia="Calibri" w:hAnsi="Calibri"/>
            <w:b/>
            <w:color w:val="0563C1"/>
            <w:sz w:val="32"/>
            <w:szCs w:val="32"/>
            <w:u w:val="single"/>
            <w:lang w:eastAsia="en-US"/>
          </w:rPr>
          <w:t>Вернуться в каталог дипломов по менеджменту</w:t>
        </w:r>
      </w:hyperlink>
    </w:p>
    <w:p w:rsidR="00335A72" w:rsidRPr="00E710DD" w:rsidRDefault="00335A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реализации строительного проекта в большинстве случаев активизируется организационно-технологический управленческий аспект, в то же время управление стоимостью и прибыльностью сводится к простому, </w:t>
      </w:r>
      <w:r>
        <w:rPr>
          <w:rFonts w:ascii="Times New Roman CYR" w:hAnsi="Times New Roman CYR" w:cs="Times New Roman CYR"/>
          <w:color w:val="000000"/>
          <w:sz w:val="28"/>
          <w:szCs w:val="28"/>
        </w:rPr>
        <w:lastRenderedPageBreak/>
        <w:t>сравнение фактических показателей с плановыми, то есть управление стоимостью и прибыльностью строительного проекта в широком понимании является сравнительно новой проблемой экономики строительства.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Касательными к этой проблеме вопросами экономики строительства, в частности управления строительными проектами и его отдельным аспектами занимались и занимаются Ардзинов В.Д., Артемьев С.П. Анин В.И., Беркут А.В., Васильева В.Н., Гусаков А.А., Конащук В.Л., Крушевский А.В., Мазурин А.И., Малюгин В.И., Панибратов Ю.П., Педан М.П., Писаревський И.М., Тищенко А.Н., Торкатюк В.И., Тян Р.Б., Ушацкий С.А., Шутенко Л.Н. и многие другие ученые. Однако существует необходимость дальнейшего совершенствования стратегического анализа управления реализацией строительных проектов с учетом современных методов управления, методологии управления проектами, концепции контроллинга с целью разработки принципов, политики, методов и приемов, процедур, позволяющих осуществлять оценку, планирование и контроль осуществления основных этапов строительства в ходе реализации строительного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работы состоит в том, чтобы на основе проводимого стратегического анализа разработать рекомендации по совершенствованию системы управления проектами в строительной организации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число решаемых задач можно отнести:</w:t>
      </w:r>
    </w:p>
    <w:p w:rsidR="00BC46F9" w:rsidRDefault="00BC46F9">
      <w:pPr>
        <w:widowControl w:val="0"/>
        <w:shd w:val="clear" w:color="auto" w:fill="FFFFFF"/>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рассмотрение теоретических аспектов менеджмента в сфере управления инвестиционно-строительными проектами,</w:t>
      </w:r>
    </w:p>
    <w:p w:rsidR="00BC46F9" w:rsidRDefault="00BC46F9">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стратегический анализ современного состояния инвестиционно-строительной деятельности,</w:t>
      </w:r>
    </w:p>
    <w:p w:rsidR="00BC46F9" w:rsidRDefault="00BC46F9">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анализ теоретических основ управления инвестиционно-строительным проектом,</w:t>
      </w:r>
    </w:p>
    <w:p w:rsidR="00BC46F9" w:rsidRDefault="00BC46F9">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эффективность реализации проектов строительной организации.</w:t>
      </w:r>
    </w:p>
    <w:p w:rsidR="00BC46F9" w:rsidRDefault="00BC46F9">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разработка и обоснование рекомендаций по совершенствованию управления проектами.</w:t>
      </w:r>
    </w:p>
    <w:p w:rsidR="00BC46F9" w:rsidRDefault="00BC46F9">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оценка эффекта от внедрения разработанных рекомендаций.</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Объектом исследования является инвестиционно-строительная деятельность компании ООО «Новоуральская промышленная компания»,</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Предметом исследования являются финансово-экономические отношения, складывающиеся между участниками строительного пула в процессе инвестиционно-строительной деятельности.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Информационной базой исследования являются статистические данные, материалы периодической печати, отечественная и зарубежная финансово-экономическая и правовая литература.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Теоретическую и методологическую основу составили методы стратегического анализа, обобщения, систематизации и распределения. </w:t>
      </w:r>
      <w:r>
        <w:rPr>
          <w:rFonts w:ascii="Times New Roman CYR" w:hAnsi="Times New Roman CYR" w:cs="Times New Roman CYR"/>
          <w:color w:val="000000"/>
          <w:sz w:val="28"/>
          <w:szCs w:val="28"/>
        </w:rPr>
        <w:t>В процессе исследования применялись общенаучные методы познания: анализ, синтез, абстрагирование, обобщение, логический метод.</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Практическая значимость исследования состоит в изучении основных особенностей инвестиционно-строительной деятельности с приложением их в практику строительных компаний на примере ООО «Новоуральская промышленная компания». Показано, что разумное распределение строительных объектов по срокам их выполнения позволяет добиться улучшения основных показателей их эффективности в целом. При этом, важно отметить, что важнейшее значение здесь выполняют графики соотношения сроков различных этапов проектов в целом.</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Теоретическую значимость в исследовании обобщили основные аспекты менеджмента в сфере управления инвестиционно-строительными проектами, а также рассмотрели и систематизировали теоретические основы управления инвестиционно-строительными проектами.</w:t>
      </w:r>
    </w:p>
    <w:p w:rsidR="00BC46F9" w:rsidRDefault="00BC46F9">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 Теоретические и методические основы управления проектами в инвестиционно-строительной сфере</w:t>
      </w:r>
    </w:p>
    <w:p w:rsidR="00BC46F9" w:rsidRDefault="00BC46F9">
      <w:pPr>
        <w:widowControl w:val="0"/>
        <w:autoSpaceDE w:val="0"/>
        <w:autoSpaceDN w:val="0"/>
        <w:adjustRightInd w:val="0"/>
        <w:spacing w:after="0" w:line="360" w:lineRule="auto"/>
        <w:ind w:firstLine="709"/>
        <w:rPr>
          <w:rFonts w:ascii="Times New Roman CYR" w:hAnsi="Times New Roman CYR" w:cs="Times New Roman CYR"/>
          <w:b/>
          <w:bCs/>
          <w:color w:val="FFFFFF"/>
          <w:sz w:val="28"/>
          <w:szCs w:val="28"/>
        </w:rPr>
      </w:pPr>
      <w:r>
        <w:rPr>
          <w:rFonts w:ascii="Times New Roman CYR" w:hAnsi="Times New Roman CYR" w:cs="Times New Roman CYR"/>
          <w:b/>
          <w:bCs/>
          <w:color w:val="FFFFFF"/>
          <w:sz w:val="28"/>
          <w:szCs w:val="28"/>
        </w:rPr>
        <w:t>проект строительный промышленный инвестиционный</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1.1 Теоретические основы управления в строительстве</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ниже приведенной схеме представлена организационная структура типового строительного управления. (рис. 1):</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256C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81475" cy="4505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4505325"/>
                    </a:xfrm>
                    <a:prstGeom prst="rect">
                      <a:avLst/>
                    </a:prstGeom>
                    <a:noFill/>
                    <a:ln>
                      <a:noFill/>
                    </a:ln>
                  </pic:spPr>
                </pic:pic>
              </a:graphicData>
            </a:graphic>
          </wp:inline>
        </w:drawing>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Структура строительного управления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которой можно сделать аналитический вывод, что управлению строительным производством присущи общие законы управления экономикой. </w:t>
      </w:r>
      <w:r>
        <w:rPr>
          <w:rFonts w:ascii="Times New Roman CYR" w:hAnsi="Times New Roman CYR" w:cs="Times New Roman CYR"/>
          <w:sz w:val="28"/>
          <w:szCs w:val="28"/>
        </w:rPr>
        <w:lastRenderedPageBreak/>
        <w:t>Однако, строительство как отрасль материального производства во многом отличается от промышленности: здесь действуют свои специфические закономерности. Руководство строительством базируется на общих принципах управления народным хозяйством в экономике страны. Но, являясь самостоятельной отраслью материального производства, имеет свои особенности в системе построения органов управления и правовые формы организации строительных работ - подрядные, хозяйственные и другие способы. Так же нужно отметить, что строительство не является стационарным производством и количество непредсказуемых рисков при реализации проектов достаточно велико.</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kern w:val="32"/>
          <w:sz w:val="28"/>
          <w:szCs w:val="28"/>
        </w:rPr>
        <w:t>1.2 Cовременное состояние инвестиционно-строительной деятельности</w:t>
      </w:r>
    </w:p>
    <w:p w:rsidR="00BC46F9" w:rsidRDefault="00BC46F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Для более глубокого понимания специфики управления инвестиционно-строительными проектами необходимо рассмотреть современное состояние сферы этой хозяйственной деятельности.</w:t>
      </w:r>
    </w:p>
    <w:p w:rsidR="00BC46F9" w:rsidRDefault="00BC46F9">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1"/>
          <w:sz w:val="28"/>
          <w:szCs w:val="28"/>
        </w:rPr>
        <w:t xml:space="preserve">Инвестиционно-строительная деятельность представляет собой </w:t>
      </w:r>
      <w:r>
        <w:rPr>
          <w:rFonts w:ascii="Times New Roman CYR" w:hAnsi="Times New Roman CYR" w:cs="Times New Roman CYR"/>
          <w:color w:val="000000"/>
          <w:spacing w:val="-4"/>
          <w:sz w:val="28"/>
          <w:szCs w:val="28"/>
        </w:rPr>
        <w:t>многоаспектную систему экономической активности, включающую не толь</w:t>
      </w:r>
      <w:r>
        <w:rPr>
          <w:rFonts w:ascii="Times New Roman CYR" w:hAnsi="Times New Roman CYR" w:cs="Times New Roman CYR"/>
          <w:color w:val="000000"/>
          <w:spacing w:val="-2"/>
          <w:sz w:val="28"/>
          <w:szCs w:val="28"/>
        </w:rPr>
        <w:t>ко собственно инвестиционный процесс и ведение строительных работ, но и целый ряд сопряженных мероприятий, направленных на достижение итого</w:t>
      </w:r>
      <w:r>
        <w:rPr>
          <w:rFonts w:ascii="Times New Roman CYR" w:hAnsi="Times New Roman CYR" w:cs="Times New Roman CYR"/>
          <w:color w:val="000000"/>
          <w:spacing w:val="-1"/>
          <w:sz w:val="28"/>
          <w:szCs w:val="28"/>
        </w:rPr>
        <w:t>вого эффекта от принятия и реализации инвестиционного решения [8].</w:t>
      </w:r>
    </w:p>
    <w:p w:rsidR="00BC46F9" w:rsidRDefault="00BC46F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Всех основных участников рынка, объектом деятельности которых являются объекты строительства можно представить на рис. 2 [8]</w:t>
      </w:r>
    </w:p>
    <w:p w:rsidR="00BC46F9" w:rsidRDefault="00BC46F9">
      <w:pPr>
        <w:widowControl w:val="0"/>
        <w:autoSpaceDE w:val="0"/>
        <w:autoSpaceDN w:val="0"/>
        <w:adjustRightInd w:val="0"/>
        <w:rPr>
          <w:rFonts w:ascii="Times New Roman CYR" w:hAnsi="Times New Roman CYR" w:cs="Times New Roman CYR"/>
          <w:noProof/>
          <w:sz w:val="28"/>
          <w:szCs w:val="28"/>
        </w:rPr>
      </w:pPr>
      <w:r>
        <w:rPr>
          <w:rFonts w:ascii="Times New Roman CYR" w:hAnsi="Times New Roman CYR" w:cs="Times New Roman CYR"/>
          <w:noProof/>
          <w:sz w:val="28"/>
          <w:szCs w:val="28"/>
        </w:rPr>
        <w:br w:type="page"/>
      </w:r>
    </w:p>
    <w:p w:rsidR="00BC46F9" w:rsidRDefault="00256C6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81500" cy="4648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4648200"/>
                    </a:xfrm>
                    <a:prstGeom prst="rect">
                      <a:avLst/>
                    </a:prstGeom>
                    <a:noFill/>
                    <a:ln>
                      <a:noFill/>
                    </a:ln>
                  </pic:spPr>
                </pic:pic>
              </a:graphicData>
            </a:graphic>
          </wp:inline>
        </w:drawing>
      </w:r>
    </w:p>
    <w:p w:rsidR="00BC46F9" w:rsidRDefault="00BC46F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Участники инвестиционно-строительного рынка</w:t>
      </w:r>
    </w:p>
    <w:p w:rsidR="00BC46F9" w:rsidRDefault="00BC46F9">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2"/>
          <w:sz w:val="28"/>
          <w:szCs w:val="28"/>
        </w:rPr>
      </w:pPr>
    </w:p>
    <w:p w:rsidR="00BC46F9" w:rsidRDefault="00BC46F9">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1"/>
          <w:sz w:val="28"/>
          <w:szCs w:val="28"/>
        </w:rPr>
        <w:t xml:space="preserve">Инвестиционно-строительная деятельность реализуется определенной </w:t>
      </w:r>
      <w:r>
        <w:rPr>
          <w:rFonts w:ascii="Times New Roman CYR" w:hAnsi="Times New Roman CYR" w:cs="Times New Roman CYR"/>
          <w:color w:val="000000"/>
          <w:spacing w:val="-3"/>
          <w:sz w:val="28"/>
          <w:szCs w:val="28"/>
        </w:rPr>
        <w:t>системой производственных, функциональных и институциональных струк</w:t>
      </w:r>
      <w:r>
        <w:rPr>
          <w:rFonts w:ascii="Times New Roman CYR" w:hAnsi="Times New Roman CYR" w:cs="Times New Roman CYR"/>
          <w:color w:val="000000"/>
          <w:sz w:val="28"/>
          <w:szCs w:val="28"/>
        </w:rPr>
        <w:t xml:space="preserve">тур, образующих инвестиционно-строительный сектор экономики. Связи, </w:t>
      </w:r>
      <w:r>
        <w:rPr>
          <w:rFonts w:ascii="Times New Roman CYR" w:hAnsi="Times New Roman CYR" w:cs="Times New Roman CYR"/>
          <w:color w:val="000000"/>
          <w:spacing w:val="-1"/>
          <w:sz w:val="28"/>
          <w:szCs w:val="28"/>
        </w:rPr>
        <w:t>объединяющие эти структуры в единую систему, как показывает практика, оказываются значительно сильнее законодательно установленных класси</w:t>
      </w:r>
      <w:r>
        <w:rPr>
          <w:rFonts w:ascii="Times New Roman CYR" w:hAnsi="Times New Roman CYR" w:cs="Times New Roman CYR"/>
          <w:color w:val="000000"/>
          <w:sz w:val="28"/>
          <w:szCs w:val="28"/>
        </w:rPr>
        <w:t xml:space="preserve">фикаций видов деятельности (ОКВЭД). Именно это свойство позволяет </w:t>
      </w:r>
      <w:r>
        <w:rPr>
          <w:rFonts w:ascii="Times New Roman CYR" w:hAnsi="Times New Roman CYR" w:cs="Times New Roman CYR"/>
          <w:color w:val="000000"/>
          <w:spacing w:val="-3"/>
          <w:sz w:val="28"/>
          <w:szCs w:val="28"/>
        </w:rPr>
        <w:t>отойти от формальных классификаций хозяйственной (экономической) дея</w:t>
      </w:r>
      <w:r>
        <w:rPr>
          <w:rFonts w:ascii="Times New Roman CYR" w:hAnsi="Times New Roman CYR" w:cs="Times New Roman CYR"/>
          <w:color w:val="000000"/>
          <w:sz w:val="28"/>
          <w:szCs w:val="28"/>
        </w:rPr>
        <w:t>тельности и рассматривать инвестиционно-строительную деятельность как самостоятельную и целостную подсистему экономической деятельности</w:t>
      </w:r>
      <w:r>
        <w:rPr>
          <w:rFonts w:ascii="Times New Roman CYR" w:hAnsi="Times New Roman CYR" w:cs="Times New Roman CYR"/>
          <w:sz w:val="28"/>
          <w:szCs w:val="28"/>
        </w:rPr>
        <w:t xml:space="preserve"> [9]</w:t>
      </w:r>
    </w:p>
    <w:p w:rsidR="00BC46F9" w:rsidRDefault="00BC46F9">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2"/>
          <w:sz w:val="28"/>
          <w:szCs w:val="28"/>
        </w:rPr>
        <w:t>Отправным этапом инициализации инвестиционно-строительного про</w:t>
      </w:r>
      <w:r>
        <w:rPr>
          <w:rFonts w:ascii="Times New Roman CYR" w:hAnsi="Times New Roman CYR" w:cs="Times New Roman CYR"/>
          <w:color w:val="000000"/>
          <w:spacing w:val="-1"/>
          <w:sz w:val="28"/>
          <w:szCs w:val="28"/>
        </w:rPr>
        <w:t xml:space="preserve">цесса </w:t>
      </w:r>
      <w:r>
        <w:rPr>
          <w:rFonts w:ascii="Times New Roman CYR" w:hAnsi="Times New Roman CYR" w:cs="Times New Roman CYR"/>
          <w:color w:val="000000"/>
          <w:spacing w:val="-1"/>
          <w:sz w:val="28"/>
          <w:szCs w:val="28"/>
        </w:rPr>
        <w:lastRenderedPageBreak/>
        <w:t>является формулировка задач инвестиционного проекта (приорите</w:t>
      </w:r>
      <w:r>
        <w:rPr>
          <w:rFonts w:ascii="Times New Roman CYR" w:hAnsi="Times New Roman CYR" w:cs="Times New Roman CYR"/>
          <w:color w:val="000000"/>
          <w:sz w:val="28"/>
          <w:szCs w:val="28"/>
        </w:rPr>
        <w:t>тов инвестора), которые, как правило, выстраиваются с учетом следую</w:t>
      </w:r>
      <w:r>
        <w:rPr>
          <w:rFonts w:ascii="Times New Roman CYR" w:hAnsi="Times New Roman CYR" w:cs="Times New Roman CYR"/>
          <w:color w:val="000000"/>
          <w:spacing w:val="-1"/>
          <w:sz w:val="28"/>
          <w:szCs w:val="28"/>
        </w:rPr>
        <w:t>щих принципов [10]:</w:t>
      </w:r>
    </w:p>
    <w:p w:rsidR="00BC46F9" w:rsidRDefault="00BC46F9" w:rsidP="00BE410E">
      <w:pPr>
        <w:widowControl w:val="0"/>
        <w:numPr>
          <w:ilvl w:val="0"/>
          <w:numId w:val="1"/>
        </w:numPr>
        <w:shd w:val="clear" w:color="auto" w:fill="FFFFFF"/>
        <w:tabs>
          <w:tab w:val="left" w:pos="0"/>
          <w:tab w:val="left" w:pos="28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нацеленность инвестиционной деятельности на достижение стратегических планов предприятия и его финансовую устойчивость;</w:t>
      </w:r>
    </w:p>
    <w:p w:rsidR="00BC46F9" w:rsidRDefault="00BC46F9" w:rsidP="00BE410E">
      <w:pPr>
        <w:widowControl w:val="0"/>
        <w:numPr>
          <w:ilvl w:val="0"/>
          <w:numId w:val="1"/>
        </w:numPr>
        <w:shd w:val="clear" w:color="auto" w:fill="FFFFFF"/>
        <w:tabs>
          <w:tab w:val="left" w:pos="0"/>
          <w:tab w:val="left" w:pos="28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экономическая обоснованность инвестиций;</w:t>
      </w:r>
    </w:p>
    <w:p w:rsidR="00BC46F9" w:rsidRDefault="00BC46F9" w:rsidP="00BE410E">
      <w:pPr>
        <w:widowControl w:val="0"/>
        <w:numPr>
          <w:ilvl w:val="0"/>
          <w:numId w:val="1"/>
        </w:numPr>
        <w:shd w:val="clear" w:color="auto" w:fill="FFFFFF"/>
        <w:tabs>
          <w:tab w:val="left" w:pos="0"/>
          <w:tab w:val="left" w:pos="28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1"/>
          <w:sz w:val="28"/>
          <w:szCs w:val="28"/>
        </w:rPr>
        <w:t>формирование оптимальной структуры портфельных и реальных ин</w:t>
      </w:r>
      <w:r>
        <w:rPr>
          <w:rFonts w:ascii="Times New Roman CYR" w:hAnsi="Times New Roman CYR" w:cs="Times New Roman CYR"/>
          <w:color w:val="000000"/>
          <w:sz w:val="28"/>
          <w:szCs w:val="28"/>
        </w:rPr>
        <w:t>вестиций;</w:t>
      </w:r>
    </w:p>
    <w:p w:rsidR="00BC46F9" w:rsidRDefault="00BC46F9" w:rsidP="00BE410E">
      <w:pPr>
        <w:widowControl w:val="0"/>
        <w:numPr>
          <w:ilvl w:val="0"/>
          <w:numId w:val="1"/>
        </w:numPr>
        <w:shd w:val="clear" w:color="auto" w:fill="FFFFFF"/>
        <w:tabs>
          <w:tab w:val="left" w:pos="0"/>
          <w:tab w:val="left" w:pos="28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учет инфляции и фактора риска:</w:t>
      </w:r>
    </w:p>
    <w:p w:rsidR="00BC46F9" w:rsidRDefault="00BC46F9" w:rsidP="00BE410E">
      <w:pPr>
        <w:widowControl w:val="0"/>
        <w:numPr>
          <w:ilvl w:val="0"/>
          <w:numId w:val="1"/>
        </w:numPr>
        <w:shd w:val="clear" w:color="auto" w:fill="FFFFFF"/>
        <w:tabs>
          <w:tab w:val="left" w:pos="0"/>
          <w:tab w:val="left" w:pos="283"/>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ранжирование проектов и инвестиций по их важности и последовательности исходя из имеющихся ресурсов и с учетом привлечения внешних источников;</w:t>
      </w:r>
    </w:p>
    <w:p w:rsidR="00BC46F9" w:rsidRDefault="00BC46F9" w:rsidP="00BE410E">
      <w:pPr>
        <w:widowControl w:val="0"/>
        <w:numPr>
          <w:ilvl w:val="12"/>
          <w:numId w:val="0"/>
        </w:numPr>
        <w:shd w:val="clear" w:color="auto" w:fill="FFFFFF"/>
        <w:tabs>
          <w:tab w:val="left" w:pos="0"/>
          <w:tab w:val="left" w:pos="221"/>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w:t>
      </w:r>
      <w:r>
        <w:rPr>
          <w:rFonts w:ascii="Times New Roman CYR" w:hAnsi="Times New Roman CYR" w:cs="Times New Roman CYR"/>
          <w:color w:val="000000"/>
          <w:spacing w:val="4"/>
          <w:sz w:val="28"/>
          <w:szCs w:val="28"/>
        </w:rPr>
        <w:tab/>
        <w:t>снижение издержек инвестиционно-строительного проекта за счет выбора надежных и более дешевых источников и методов финансирования инвестиций:</w:t>
      </w:r>
    </w:p>
    <w:p w:rsidR="00BC46F9" w:rsidRDefault="00BC46F9" w:rsidP="00BE410E">
      <w:pPr>
        <w:widowControl w:val="0"/>
        <w:numPr>
          <w:ilvl w:val="12"/>
          <w:numId w:val="0"/>
        </w:numPr>
        <w:shd w:val="clear" w:color="auto" w:fill="FFFFFF"/>
        <w:tabs>
          <w:tab w:val="left" w:pos="0"/>
          <w:tab w:val="left" w:pos="226"/>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w:t>
      </w:r>
      <w:r>
        <w:rPr>
          <w:rFonts w:ascii="Times New Roman CYR" w:hAnsi="Times New Roman CYR" w:cs="Times New Roman CYR"/>
          <w:color w:val="000000"/>
          <w:spacing w:val="4"/>
          <w:sz w:val="28"/>
          <w:szCs w:val="28"/>
        </w:rPr>
        <w:tab/>
        <w:t>снижение издержек производственной (строительной) деятельности.</w:t>
      </w:r>
    </w:p>
    <w:p w:rsidR="00BC46F9" w:rsidRDefault="00BC46F9" w:rsidP="00BE410E">
      <w:pPr>
        <w:widowControl w:val="0"/>
        <w:numPr>
          <w:ilvl w:val="12"/>
          <w:numId w:val="0"/>
        </w:numPr>
        <w:shd w:val="clear" w:color="auto" w:fill="FFFFFF"/>
        <w:tabs>
          <w:tab w:val="left" w:pos="0"/>
          <w:tab w:val="left" w:pos="226"/>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Уже на этапе территориальной привязки инвестиционного проекта потенциальный инвестор в большинстве случаев сталкивается с теми или иными формами проявлений региональной политики по отношению к инвестиционно-строительной деятельности.</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 xml:space="preserve">Актуальные для России формы ИСД подразумевают ту или иную комбинацию участия государства, местного самоуправления и частного бизнеса. Инвестиционно-строительная деятельность, как правило, является воплощением определенных экономических установок каждого из контрагентов этой деятельности - повышения уровня жизни (как основной установки деятельности для органов регионального управления и местного </w:t>
      </w:r>
      <w:r>
        <w:rPr>
          <w:rFonts w:ascii="Times New Roman CYR" w:hAnsi="Times New Roman CYR" w:cs="Times New Roman CYR"/>
          <w:color w:val="000000"/>
          <w:spacing w:val="4"/>
          <w:sz w:val="28"/>
          <w:szCs w:val="28"/>
        </w:rPr>
        <w:lastRenderedPageBreak/>
        <w:t>самоуправления) и оптимизации среды жизнедеятельности (для общества), удачного вложения свободных средств и получения прибыли (для частных инвесторов и строительных компаний). С последними установками напрямую связано представление об ИСД как об одной из немногих форм возможной физической реализации действующих приоритетов региональной политики.</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Вклад первых двух субъектов (контрагентов) ИСД совсем необязательно носит финансовый характер - в большинстве случаев регламент их участия в инвестиционно-строительной деятельности может ограничиваться формированием компонентов инвестиционной среды - правовой, инфраструктурной, институциональной, информационной. Значительная часть реализуемых инвестиционных проектов проходит при значительном участии региональных бюджетов - при действии мер региональной инвестиционной политики: систем налоговых льгот для инвесторов, субсидирования части инвестиционных кредитов и т. д. Вместе с тем значительная часть ИСД фактически является внутренним делом систем управления и самоуправления: финансирование бюджетной инвестиционно-строительной деятельности - установленный приоритет органов управления и местного самоуправления.</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Для инвестиций как экономической категории характерны следующие наиболее существенные признаки:</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 потенциальная способность обеспечивать прирост капитала предприятия, приносить прибыль и (или) иной полезный эффект;</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 целенаправленный характер вложения средств в материальные и нематериальные объекты;</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 наличие срока вложения капитала;</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 вероятностный характер достижения цели инвестирования.</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 xml:space="preserve">Инвестиции как любая экономическая категория проявляются через </w:t>
      </w:r>
      <w:r>
        <w:rPr>
          <w:rFonts w:ascii="Times New Roman CYR" w:hAnsi="Times New Roman CYR" w:cs="Times New Roman CYR"/>
          <w:color w:val="000000"/>
          <w:spacing w:val="4"/>
          <w:sz w:val="28"/>
          <w:szCs w:val="28"/>
        </w:rPr>
        <w:lastRenderedPageBreak/>
        <w:t>выполняемые функции. К основным функциям инвестиций относятся:</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во-первых, перераспределение капитала между собственниками путем приобретения акций и вложения средств в активы предприятий; во-вторых, перелив капитала в более привлекательные сферы путем инвестирования этих сфер; в-третьих, процесс восполнения оборотного капитала; в-четвертых, процесс расширенного воспроизводства основных фондов.</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Наибольшее распространение получило понятие термина «инвестиции» как долгосрочное вложение капитала в материальные, нематериальные и финансовые активы. Инвестиционный процесс начинается с формирования денежных средств, используемых в качестве инвестиций. Данные средства выступают как часть сбережений, направляемая на получение экономического и (или) социального эффекта. Превращение сбережений в виде денежных средств в инвестиции происходит одним из следующих способов:</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 при непосредственном использовании хозяйствующим субъектом имеющихся собственных средств на развитие;</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 через рынок банковских кредитов, когда процесс движения денег от их собственника к заемщику опосредуется коммерческим банком;</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 путем выпуска потребителем инвестиционных ресурсов ценных бумаг.</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Инвестиции классифицируются по различным признакам, основные из которых приведены ниже. В зависимости от объекта вложения капитала различают реальные и финансовые инвестиции. К реальным инвестициям относят средства, вложенные в расширение, реконструкцию, техническое перевооружение основных фондов, в оборотные фонды, нематериальные активы, имеющие денежную оценку, в научные исследования, повышение квалификации, знаний и опыта работников, в интеллектуальный потенциал и другие, так называемые неосязаемые ценности.</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 xml:space="preserve">К финансовым инвестициям относят вложение капитала в различные </w:t>
      </w:r>
      <w:r>
        <w:rPr>
          <w:rFonts w:ascii="Times New Roman CYR" w:hAnsi="Times New Roman CYR" w:cs="Times New Roman CYR"/>
          <w:color w:val="000000"/>
          <w:spacing w:val="4"/>
          <w:sz w:val="28"/>
          <w:szCs w:val="28"/>
        </w:rPr>
        <w:lastRenderedPageBreak/>
        <w:t>финансовые инструменты, прежде всего в ценные бумаги.</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Формами финансовых инвестиций являются вложения в ценные долевые и долговые бумаги, а также депозитные банковские вклады. В первом случае финансовые инвестиции ориентированы на долгосрочный период и преследуют стратегические цели инвестора, связанные с участием в управлении объектом, в который вкладывается капитал. Во втором случае финансовые инвестиции носят спекулятивный характер и ориентированы на получение инвестором желаемого инвестиционного дохода в конкретном периоде времени.</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Инвестирование в создание и воспроизводство основных фондов осуществляется в форме капитальных вложений. Таким образом, капитальные вложения - инвестиции в основной капитал (основные средства), в том числе затраты на новое строительство, расширение, реконструкцию и техническое перевооружение действующих предприятий, приобретение машин, оборудования, инструмента, инвентаря, проектно-изыскательские работы и другие затраты [1]. Капитальные вложения в значительной своей части превращаются в производственные фонды, увеличивая или обновляя их, повышая технический уровень предприятия.</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 xml:space="preserve">С точки зрения поддержания или развития действующего потенциала капитальные вложения могут быть вынужденными или альтернативными. Вынужденные капитальные вложения связаны с простым воспроизводством либо с приведением параметров предприятия в соответствие с законодательными требованиями. В условиях регулярно обновляющихся производственных фондов вынужденные инвестиции являются не характерным случаем вложений в реальные активы. В современных же российских условиях, когда прогрессирует износ активной части основных фондов, вынужденные инвестиции могут приобрести большее значение в </w:t>
      </w:r>
      <w:r>
        <w:rPr>
          <w:rFonts w:ascii="Times New Roman CYR" w:hAnsi="Times New Roman CYR" w:cs="Times New Roman CYR"/>
          <w:color w:val="000000"/>
          <w:spacing w:val="4"/>
          <w:sz w:val="28"/>
          <w:szCs w:val="28"/>
        </w:rPr>
        <w:lastRenderedPageBreak/>
        <w:t>случае изменения инвестиционной ситуации в реальном секторе экономики.</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Альтернативные инвестиционные программы преследуют современные стратегические цели предприятий: органический рост, лидерство в снижении издержек, дифференциации или диверсификации деятельности.</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Инвестиции в форме капитальных вложений характеризуются категориями воспроизводственной структуры и технологической структуры инвестиций. Воспроизводственная структура капитальных вложений - это способы превращения инвестиций в основные фонды. Различают четыре направления воспроизводственной структуры: новое строительство, расширение действующих предприятий, реконструкция и техническое перевооружение.</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Новое строительство - это строительство предприятий, зданий, сооружений, осуществляемое на новых площадках и по специально разработанному проекту.</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Расширение действующего предприятия представляет собой либо строительство последующих очередей дополнительных производственных комплексов и производств по новым проектам, либо расширение существующих цехов основного, вспомогательного и обслуживающего производств. Оно ведется, как правило, на территории действующего предприятия или на примыкающих площадях.</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Реконструкция - это полное или частичное переоборудование или переустройство действующего предприятия с заменой морально устаревшего и физически изношенного оборудования путем механизации и автоматизации, устранения диспропорций в технологических звеньях и вспомогательных службах.</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 xml:space="preserve">Техническое перевооружение - комплекс мероприятий по повышению технического уровня предприятия в соответствии с современными </w:t>
      </w:r>
      <w:r>
        <w:rPr>
          <w:rFonts w:ascii="Times New Roman CYR" w:hAnsi="Times New Roman CYR" w:cs="Times New Roman CYR"/>
          <w:color w:val="000000"/>
          <w:spacing w:val="4"/>
          <w:sz w:val="28"/>
          <w:szCs w:val="28"/>
        </w:rPr>
        <w:lastRenderedPageBreak/>
        <w:t>требованиями путем внедрения новой техники и технологии, механизации и автоматизации, модернизации и замены устаревшего оборудования. Воспроизводственные формы капитальных вложений характеризуются различной эффективностью. Наибольшую отдачу обеспечивают капитальные вложения в реконструкцию и техническое перевооружение, так как в результате возрастает доля инвестиций в производственные фонды и их активную часть.</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Соотношение затрат на приобретение оборудования и в строительно-монтажные работы, то есть стоимости активной и пассивной частей основных фондов в общих капитальных вложениях, характеризует их технологическую структуру. Технологическая структура инвестиций и ее эффективность при различных воспроизводственных формах зависит от следующих факторов: стоимости машин и оборудования (активных основных фондов), стоимости СМР при новом строительстве и реконструкции (пассивной части основных фондов).</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4"/>
          <w:sz w:val="28"/>
          <w:szCs w:val="28"/>
        </w:rPr>
        <w:t>Капитальные вложения, осуществляемые в форме реконструкции, характеризуются некоторыми особенностями. Во-первых, капитальные вложения увеличиваются на разность остаточной стоимости основных фондов, выводимых при реконструкции, и выручки от их реализации. Во-вторых, величина прибыли, возможность получения которой утрачивается вследствие реконструкции, может быть приравнена к капитальным вложениям (альтернативные затраты) и увеличит таким образом их стоимость. В-третьих, если для финансирования реконструкции привлекаются средства на капитальный ремонт, на их величину уменьшаются капитальные</w:t>
      </w:r>
      <w:r>
        <w:rPr>
          <w:rFonts w:ascii="Times New Roman CYR" w:hAnsi="Times New Roman CYR" w:cs="Times New Roman CYR"/>
          <w:color w:val="000000"/>
          <w:sz w:val="28"/>
          <w:szCs w:val="28"/>
        </w:rPr>
        <w:t xml:space="preserve"> вложения.</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color w:val="000000"/>
          <w:spacing w:val="3"/>
          <w:sz w:val="28"/>
          <w:szCs w:val="28"/>
        </w:rPr>
        <w:t xml:space="preserve">По характеру участия инвестора в инвестиционном процессе инвестиции подразделяются на инвестиции прямые и косвенные (опосредованные). Прямые инвестиции предполагают непосредственное участие инвестора во </w:t>
      </w:r>
      <w:r>
        <w:rPr>
          <w:rFonts w:ascii="Times New Roman CYR" w:hAnsi="Times New Roman CYR" w:cs="Times New Roman CYR"/>
          <w:color w:val="000000"/>
          <w:spacing w:val="3"/>
          <w:sz w:val="28"/>
          <w:szCs w:val="28"/>
        </w:rPr>
        <w:lastRenderedPageBreak/>
        <w:t>вложении капитала в конкретный объект: приобретение реальных активов или вложение средств в уставные капиталы организаций.</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color w:val="000000"/>
          <w:spacing w:val="3"/>
          <w:sz w:val="28"/>
          <w:szCs w:val="28"/>
        </w:rPr>
        <w:t>Косвенные инвестиции предполагают вложение капитала инвестора в объекты инвестирования через финансовых посредников (инвестиционные фонды) путем приобретения различных финансовых инструментов.</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color w:val="000000"/>
          <w:spacing w:val="3"/>
          <w:sz w:val="28"/>
          <w:szCs w:val="28"/>
        </w:rPr>
        <w:t>По отношению к объекту вложения выделяют внутренние и внешние инвестиции. Внутренние инвестиции - капитал, вкладываемый в собственные активы инвестора, внешние - капитал, вкладываемый инвестором в активы других хозяйствующих субъектов.</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color w:val="000000"/>
          <w:spacing w:val="3"/>
          <w:sz w:val="28"/>
          <w:szCs w:val="28"/>
        </w:rPr>
        <w:t>По периоду осуществления выделяются долгосрочные и краткосрочные инвестиции. Долгосрочные инвестиции - вложение капитала на период более одного года.</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color w:val="000000"/>
          <w:spacing w:val="3"/>
          <w:sz w:val="28"/>
          <w:szCs w:val="28"/>
        </w:rPr>
        <w:t>По характеру инвестируемого капитала инвестиции подразделяются на частные, государственные и муниципальные. Частные инвестиции представляют собой вложения капитала физических лиц и юридических лиц негосударственных форм собственности. К государственным и муниципальным инвестициям относятся вложения капитала государственных и муниципальных предприятий, вложения средств бюджетов разных уровней и государственных внебюджетных фондов.</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color w:val="000000"/>
          <w:spacing w:val="3"/>
          <w:sz w:val="28"/>
          <w:szCs w:val="28"/>
        </w:rPr>
        <w:t>По отраслевой направленности инвестиции классифицируют в разрезе отдельных отраслей и сфер деятельности. Например, инвестиции в промышленность, сельское хозяйство, торговлю.</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color w:val="000000"/>
          <w:spacing w:val="3"/>
          <w:sz w:val="28"/>
          <w:szCs w:val="28"/>
        </w:rPr>
        <w:t>Большое место в экономике развитых стран занимают инновационные инвестиции, представляющие собой в основном вложения в нематериальные активы и обеспечивающие внедрение научных и технических разработок в производство и социальную сферу.</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color w:val="000000"/>
          <w:spacing w:val="4"/>
          <w:sz w:val="28"/>
          <w:szCs w:val="28"/>
        </w:rPr>
        <w:t xml:space="preserve">В конечном итоге обобщенная система факторов ведения </w:t>
      </w:r>
      <w:r>
        <w:rPr>
          <w:rFonts w:ascii="Times New Roman CYR" w:hAnsi="Times New Roman CYR" w:cs="Times New Roman CYR"/>
          <w:color w:val="000000"/>
          <w:spacing w:val="4"/>
          <w:sz w:val="28"/>
          <w:szCs w:val="28"/>
        </w:rPr>
        <w:lastRenderedPageBreak/>
        <w:t>инвестици</w:t>
      </w:r>
      <w:r>
        <w:rPr>
          <w:rFonts w:ascii="Times New Roman CYR" w:hAnsi="Times New Roman CYR" w:cs="Times New Roman CYR"/>
          <w:color w:val="000000"/>
          <w:spacing w:val="5"/>
          <w:sz w:val="28"/>
          <w:szCs w:val="28"/>
        </w:rPr>
        <w:t xml:space="preserve">онно-строительной деятельности для отдельных ее контрагентов может </w:t>
      </w:r>
      <w:r>
        <w:rPr>
          <w:rFonts w:ascii="Times New Roman CYR" w:hAnsi="Times New Roman CYR" w:cs="Times New Roman CYR"/>
          <w:color w:val="000000"/>
          <w:spacing w:val="4"/>
          <w:sz w:val="28"/>
          <w:szCs w:val="28"/>
        </w:rPr>
        <w:t xml:space="preserve">быть представлена в следующем виде [11]. </w:t>
      </w:r>
      <w:r>
        <w:rPr>
          <w:rFonts w:ascii="Times New Roman CYR" w:hAnsi="Times New Roman CYR" w:cs="Times New Roman CYR"/>
          <w:color w:val="000000"/>
          <w:spacing w:val="3"/>
          <w:sz w:val="28"/>
          <w:szCs w:val="28"/>
        </w:rPr>
        <w:t>Анализ структуры инвестиций по различным признакам имеет существенное значение для изучения тенденций изменения эффективности их использования с целью разработки более действенной инвестиционной политики. Расхождения в установках основных субъектов инвестиционно-строи</w:t>
      </w:r>
      <w:r>
        <w:rPr>
          <w:rFonts w:ascii="Times New Roman CYR" w:hAnsi="Times New Roman CYR" w:cs="Times New Roman CYR"/>
          <w:color w:val="000000"/>
          <w:spacing w:val="5"/>
          <w:sz w:val="28"/>
          <w:szCs w:val="28"/>
        </w:rPr>
        <w:t xml:space="preserve">тельной деятельности приводят к пониманию того, что многостадийный процесс ИСД в современной России может и должен контролироваться, </w:t>
      </w:r>
      <w:r>
        <w:rPr>
          <w:rFonts w:ascii="Times New Roman CYR" w:hAnsi="Times New Roman CYR" w:cs="Times New Roman CYR"/>
          <w:color w:val="000000"/>
          <w:spacing w:val="3"/>
          <w:sz w:val="28"/>
          <w:szCs w:val="28"/>
        </w:rPr>
        <w:t>регламентироваться, регулироваться и управляться на каждом этапе реали</w:t>
      </w:r>
      <w:r>
        <w:rPr>
          <w:rFonts w:ascii="Times New Roman CYR" w:hAnsi="Times New Roman CYR" w:cs="Times New Roman CYR"/>
          <w:color w:val="000000"/>
          <w:spacing w:val="4"/>
          <w:sz w:val="28"/>
          <w:szCs w:val="28"/>
        </w:rPr>
        <w:t>зации. С учетом пространственной (географической, природной, экономи</w:t>
      </w:r>
      <w:r>
        <w:rPr>
          <w:rFonts w:ascii="Times New Roman CYR" w:hAnsi="Times New Roman CYR" w:cs="Times New Roman CYR"/>
          <w:color w:val="000000"/>
          <w:spacing w:val="6"/>
          <w:sz w:val="28"/>
          <w:szCs w:val="28"/>
        </w:rPr>
        <w:t>ческой, социальной) дифференциации условий ведения ИСД потенциал о</w:t>
      </w:r>
      <w:r>
        <w:rPr>
          <w:rFonts w:ascii="Times New Roman CYR" w:hAnsi="Times New Roman CYR" w:cs="Times New Roman CYR"/>
          <w:color w:val="000000"/>
          <w:spacing w:val="4"/>
          <w:sz w:val="28"/>
          <w:szCs w:val="28"/>
        </w:rPr>
        <w:t>бщефедеральных принципов управления ИСД практически исчерпан. ос</w:t>
      </w:r>
      <w:r>
        <w:rPr>
          <w:rFonts w:ascii="Times New Roman CYR" w:hAnsi="Times New Roman CYR" w:cs="Times New Roman CYR"/>
          <w:color w:val="000000"/>
          <w:spacing w:val="3"/>
          <w:sz w:val="28"/>
          <w:szCs w:val="28"/>
        </w:rPr>
        <w:t xml:space="preserve">новные полномочия естественно смешены на уровень субъектов Федерации, </w:t>
      </w:r>
      <w:r>
        <w:rPr>
          <w:rFonts w:ascii="Times New Roman CYR" w:hAnsi="Times New Roman CYR" w:cs="Times New Roman CYR"/>
          <w:color w:val="000000"/>
          <w:spacing w:val="2"/>
          <w:sz w:val="28"/>
          <w:szCs w:val="28"/>
        </w:rPr>
        <w:t xml:space="preserve">в масштабах которых, как не </w:t>
      </w:r>
      <w:r>
        <w:rPr>
          <w:rFonts w:ascii="Times New Roman CYR" w:hAnsi="Times New Roman CYR" w:cs="Times New Roman CYR"/>
          <w:color w:val="00001E"/>
          <w:spacing w:val="2"/>
          <w:sz w:val="28"/>
          <w:szCs w:val="28"/>
        </w:rPr>
        <w:t xml:space="preserve">раз </w:t>
      </w:r>
      <w:r>
        <w:rPr>
          <w:rFonts w:ascii="Times New Roman CYR" w:hAnsi="Times New Roman CYR" w:cs="Times New Roman CYR"/>
          <w:color w:val="000000"/>
          <w:spacing w:val="2"/>
          <w:sz w:val="28"/>
          <w:szCs w:val="28"/>
        </w:rPr>
        <w:t>показывалось [11],механиз</w:t>
      </w:r>
      <w:r>
        <w:rPr>
          <w:rFonts w:ascii="Times New Roman CYR" w:hAnsi="Times New Roman CYR" w:cs="Times New Roman CYR"/>
          <w:color w:val="000000"/>
          <w:spacing w:val="3"/>
          <w:sz w:val="28"/>
          <w:szCs w:val="28"/>
        </w:rPr>
        <w:t>мы региональной политики приобретают наиболее действенные формы.</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color w:val="000000"/>
          <w:spacing w:val="3"/>
          <w:sz w:val="28"/>
          <w:szCs w:val="28"/>
        </w:rPr>
        <w:t>Вместе с тем существующая региональная политика в большинстве ре</w:t>
      </w:r>
      <w:r>
        <w:rPr>
          <w:rFonts w:ascii="Times New Roman CYR" w:hAnsi="Times New Roman CYR" w:cs="Times New Roman CYR"/>
          <w:color w:val="000000"/>
          <w:spacing w:val="2"/>
          <w:sz w:val="28"/>
          <w:szCs w:val="28"/>
        </w:rPr>
        <w:t>гионов Российской Федерации до сих носила декларативный характер: утвер</w:t>
      </w:r>
      <w:r>
        <w:rPr>
          <w:rFonts w:ascii="Times New Roman CYR" w:hAnsi="Times New Roman CYR" w:cs="Times New Roman CYR"/>
          <w:color w:val="000000"/>
          <w:spacing w:val="4"/>
          <w:sz w:val="28"/>
          <w:szCs w:val="28"/>
        </w:rPr>
        <w:t xml:space="preserve">ждаемые </w:t>
      </w:r>
      <w:r>
        <w:rPr>
          <w:rFonts w:ascii="Times New Roman CYR" w:hAnsi="Times New Roman CYR" w:cs="Times New Roman CYR"/>
          <w:color w:val="00001E"/>
          <w:spacing w:val="4"/>
          <w:sz w:val="28"/>
          <w:szCs w:val="28"/>
        </w:rPr>
        <w:t xml:space="preserve">раз за разом </w:t>
      </w:r>
      <w:r>
        <w:rPr>
          <w:rFonts w:ascii="Times New Roman CYR" w:hAnsi="Times New Roman CYR" w:cs="Times New Roman CYR"/>
          <w:color w:val="000000"/>
          <w:spacing w:val="4"/>
          <w:sz w:val="28"/>
          <w:szCs w:val="28"/>
        </w:rPr>
        <w:t xml:space="preserve">перечни приоритетов и мер региональной политики, </w:t>
      </w:r>
      <w:r>
        <w:rPr>
          <w:rFonts w:ascii="Times New Roman CYR" w:hAnsi="Times New Roman CYR" w:cs="Times New Roman CYR"/>
          <w:color w:val="000000"/>
          <w:spacing w:val="1"/>
          <w:sz w:val="28"/>
          <w:szCs w:val="28"/>
        </w:rPr>
        <w:t xml:space="preserve">направленные на достижение поставленных целей, как </w:t>
      </w:r>
      <w:r>
        <w:rPr>
          <w:rFonts w:ascii="Times New Roman CYR" w:hAnsi="Times New Roman CYR" w:cs="Times New Roman CYR"/>
          <w:color w:val="000000"/>
          <w:spacing w:val="3"/>
          <w:sz w:val="28"/>
          <w:szCs w:val="28"/>
        </w:rPr>
        <w:t>правило, не находят воплощения в конкретных мероприятиях. Приблизиться к провозглашаемым приоритетам в большинстве случаев удается не столько за счет реализуемых мер региональной политики, сколько (особенно в последние годы) - за счет благоприятной общеэкономической конъюнктуры.</w:t>
      </w:r>
    </w:p>
    <w:p w:rsidR="00BC46F9" w:rsidRDefault="00BC46F9" w:rsidP="00BE410E">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[16] индекс предпринимательской уверенности в строительстве за последние 7 лет имеет отрицательные значения за исключением первых трех кварталов 2012 года. В 2013-2016 годах наблюдается увеличение исследуемого показателя - рис. 3.</w:t>
      </w:r>
    </w:p>
    <w:p w:rsidR="00BC46F9" w:rsidRDefault="00BC46F9" w:rsidP="00BE410E">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b/>
          <w:bCs/>
          <w:sz w:val="28"/>
          <w:szCs w:val="28"/>
        </w:rPr>
      </w:pPr>
    </w:p>
    <w:p w:rsidR="00BC46F9" w:rsidRDefault="00256C69" w:rsidP="00BE410E">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drawing>
          <wp:inline distT="0" distB="0" distL="0" distR="0">
            <wp:extent cx="4629150" cy="1952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1952625"/>
                    </a:xfrm>
                    <a:prstGeom prst="rect">
                      <a:avLst/>
                    </a:prstGeom>
                    <a:noFill/>
                    <a:ln>
                      <a:noFill/>
                    </a:ln>
                  </pic:spPr>
                </pic:pic>
              </a:graphicData>
            </a:graphic>
          </wp:inline>
        </w:drawing>
      </w:r>
    </w:p>
    <w:p w:rsidR="00BC46F9" w:rsidRDefault="00BC46F9" w:rsidP="00BE410E">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Финансовые вложения организаций в строительство</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[17] долгосрочные финансовые вложения организаций в строительство в 2013 году превышают краткосрочные в 17 раз, в 2014-2016 годах в 9 раз. Общее количество финансовых вложений увеличивается с каждым годом, и в 2016 году оно равно 792890 млн. руб., что составляет 1,19% от суммы финансовых вложений по всем видам экономической деятельности.</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Несмотря на это, в настоящее время наиболее действенны вполне определенные механизмы региональной политики по отношению к различ</w:t>
      </w:r>
      <w:r>
        <w:rPr>
          <w:rFonts w:ascii="Times New Roman CYR" w:hAnsi="Times New Roman CYR" w:cs="Times New Roman CYR"/>
          <w:color w:val="000000"/>
          <w:spacing w:val="1"/>
          <w:sz w:val="28"/>
          <w:szCs w:val="28"/>
        </w:rPr>
        <w:t xml:space="preserve">ным видам инвестиционно-строительной деятельности. Потенциал практической реализации приоритетов регионального развития сосредоточен </w:t>
      </w:r>
      <w:r>
        <w:rPr>
          <w:rFonts w:ascii="Times New Roman CYR" w:hAnsi="Times New Roman CYR" w:cs="Times New Roman CYR"/>
          <w:color w:val="000000"/>
          <w:spacing w:val="-1"/>
          <w:sz w:val="28"/>
          <w:szCs w:val="28"/>
        </w:rPr>
        <w:t>не в широких категориях региональной экономической, социальной и эко</w:t>
      </w:r>
      <w:r>
        <w:rPr>
          <w:rFonts w:ascii="Times New Roman CYR" w:hAnsi="Times New Roman CYR" w:cs="Times New Roman CYR"/>
          <w:color w:val="000000"/>
          <w:spacing w:val="1"/>
          <w:sz w:val="28"/>
          <w:szCs w:val="28"/>
        </w:rPr>
        <w:t xml:space="preserve">логической политики, а в их более конкретных формах - региональной </w:t>
      </w:r>
      <w:r>
        <w:rPr>
          <w:rFonts w:ascii="Times New Roman CYR" w:hAnsi="Times New Roman CYR" w:cs="Times New Roman CYR"/>
          <w:color w:val="000000"/>
          <w:sz w:val="28"/>
          <w:szCs w:val="28"/>
        </w:rPr>
        <w:t>инвестиционной, градостроительной и природоохранной политике.</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w:t>
      </w:r>
      <w:r>
        <w:rPr>
          <w:rFonts w:ascii="Times New Roman CYR" w:hAnsi="Times New Roman CYR" w:cs="Times New Roman CYR"/>
          <w:color w:val="000000"/>
          <w:spacing w:val="-1"/>
          <w:sz w:val="28"/>
          <w:szCs w:val="28"/>
        </w:rPr>
        <w:t xml:space="preserve">Инвестиционно-строительная деятельность представляет собой </w:t>
      </w:r>
      <w:r>
        <w:rPr>
          <w:rFonts w:ascii="Times New Roman CYR" w:hAnsi="Times New Roman CYR" w:cs="Times New Roman CYR"/>
          <w:color w:val="000000"/>
          <w:spacing w:val="-4"/>
          <w:sz w:val="28"/>
          <w:szCs w:val="28"/>
        </w:rPr>
        <w:t>многоаспектную систему экономической активности, включающую не толь</w:t>
      </w:r>
      <w:r>
        <w:rPr>
          <w:rFonts w:ascii="Times New Roman CYR" w:hAnsi="Times New Roman CYR" w:cs="Times New Roman CYR"/>
          <w:color w:val="000000"/>
          <w:spacing w:val="-2"/>
          <w:sz w:val="28"/>
          <w:szCs w:val="28"/>
        </w:rPr>
        <w:t>ко собственно инвестиционный процесс и ведение строительных работ, но и целый ряд сопряженных мероприятий, направленных на достижение итого</w:t>
      </w:r>
      <w:r>
        <w:rPr>
          <w:rFonts w:ascii="Times New Roman CYR" w:hAnsi="Times New Roman CYR" w:cs="Times New Roman CYR"/>
          <w:color w:val="000000"/>
          <w:spacing w:val="-1"/>
          <w:sz w:val="28"/>
          <w:szCs w:val="28"/>
        </w:rPr>
        <w:t>вого эффекта от принятия и реализации инвестиционного решения.</w:t>
      </w:r>
    </w:p>
    <w:p w:rsidR="00BC46F9" w:rsidRDefault="00BC46F9" w:rsidP="00BE410E">
      <w:pPr>
        <w:widowControl w:val="0"/>
        <w:numPr>
          <w:ilvl w:val="12"/>
          <w:numId w:val="0"/>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 xml:space="preserve">Инвестиционно-строительная деятельность, как правило, является </w:t>
      </w:r>
      <w:r>
        <w:rPr>
          <w:rFonts w:ascii="Times New Roman CYR" w:hAnsi="Times New Roman CYR" w:cs="Times New Roman CYR"/>
          <w:color w:val="000000"/>
          <w:spacing w:val="4"/>
          <w:sz w:val="28"/>
          <w:szCs w:val="28"/>
        </w:rPr>
        <w:lastRenderedPageBreak/>
        <w:t>воплощением определенных экономических установок каждого из контрагентов этой деятельности - повышения уровня жизни (как основной установки деятельности для органов регионального управления и местного самоуправления) и оптимизации среды жизнедеятельности (для общества), удачного вложения свободных средств и получения прибыли (для частных инвесторов и строительных компаний). С последними установками напрямую связано представление об ИСД как об одной из немногих форм возможной физической реализации действующих приоритетов региональной политики.</w:t>
      </w:r>
    </w:p>
    <w:p w:rsidR="00BC46F9" w:rsidRDefault="00BC46F9" w:rsidP="00BE410E">
      <w:pPr>
        <w:widowControl w:val="0"/>
        <w:numPr>
          <w:ilvl w:val="12"/>
          <w:numId w:val="0"/>
        </w:numPr>
        <w:autoSpaceDE w:val="0"/>
        <w:autoSpaceDN w:val="0"/>
        <w:adjustRightInd w:val="0"/>
        <w:rPr>
          <w:rFonts w:ascii="Times New Roman CYR" w:hAnsi="Times New Roman CYR" w:cs="Times New Roman CYR"/>
          <w:sz w:val="28"/>
          <w:szCs w:val="28"/>
        </w:rPr>
      </w:pP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b/>
          <w:bCs/>
          <w:color w:val="000000"/>
          <w:spacing w:val="-1"/>
          <w:sz w:val="28"/>
          <w:szCs w:val="28"/>
        </w:rPr>
      </w:pPr>
      <w:r>
        <w:rPr>
          <w:rFonts w:ascii="Times New Roman CYR" w:hAnsi="Times New Roman CYR" w:cs="Times New Roman CYR"/>
          <w:b/>
          <w:bCs/>
          <w:color w:val="000000"/>
          <w:spacing w:val="-1"/>
          <w:sz w:val="28"/>
          <w:szCs w:val="28"/>
        </w:rPr>
        <w:t>1.3 Теоретические основы управления инвестиционно-строительным проектом</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1"/>
          <w:sz w:val="28"/>
          <w:szCs w:val="28"/>
        </w:rPr>
        <w:t>Основанием для принятия решения об инвестировании того или иного объекта является оценка его инвестиционных качеств. Она вклю</w:t>
      </w:r>
      <w:r>
        <w:rPr>
          <w:rFonts w:ascii="Times New Roman CYR" w:hAnsi="Times New Roman CYR" w:cs="Times New Roman CYR"/>
          <w:color w:val="000000"/>
          <w:spacing w:val="1"/>
          <w:sz w:val="28"/>
          <w:szCs w:val="28"/>
        </w:rPr>
        <w:t>чает оценку внутреннего состояния потенциального объекта ин</w:t>
      </w:r>
      <w:r>
        <w:rPr>
          <w:rFonts w:ascii="Times New Roman CYR" w:hAnsi="Times New Roman CYR" w:cs="Times New Roman CYR"/>
          <w:color w:val="000000"/>
          <w:spacing w:val="-1"/>
          <w:sz w:val="28"/>
          <w:szCs w:val="28"/>
        </w:rPr>
        <w:t xml:space="preserve">вестирования и состояние его внешней среды. Комплексная оценка состояния объекта инвестирования во взаимосвязи с внешней </w:t>
      </w:r>
      <w:r>
        <w:rPr>
          <w:rFonts w:ascii="Times New Roman CYR" w:hAnsi="Times New Roman CYR" w:cs="Times New Roman CYR"/>
          <w:color w:val="000000"/>
          <w:spacing w:val="-2"/>
          <w:sz w:val="28"/>
          <w:szCs w:val="28"/>
        </w:rPr>
        <w:t xml:space="preserve">средой получила название инвестиционной привлекательности </w:t>
      </w:r>
      <w:r>
        <w:rPr>
          <w:rFonts w:ascii="Times New Roman CYR" w:hAnsi="Times New Roman CYR" w:cs="Times New Roman CYR"/>
          <w:color w:val="000000"/>
          <w:spacing w:val="-1"/>
          <w:sz w:val="28"/>
          <w:szCs w:val="28"/>
        </w:rPr>
        <w:t>или инвестиционного климата. Инвестиционная привлекатель</w:t>
      </w:r>
      <w:r>
        <w:rPr>
          <w:rFonts w:ascii="Times New Roman CYR" w:hAnsi="Times New Roman CYR" w:cs="Times New Roman CYR"/>
          <w:color w:val="000000"/>
          <w:spacing w:val="1"/>
          <w:sz w:val="28"/>
          <w:szCs w:val="28"/>
        </w:rPr>
        <w:t xml:space="preserve">ность обеспечивается, прежде всего, созданием благоприятных </w:t>
      </w:r>
      <w:r>
        <w:rPr>
          <w:rFonts w:ascii="Times New Roman CYR" w:hAnsi="Times New Roman CYR" w:cs="Times New Roman CYR"/>
          <w:color w:val="000000"/>
          <w:spacing w:val="-1"/>
          <w:sz w:val="28"/>
          <w:szCs w:val="28"/>
        </w:rPr>
        <w:t xml:space="preserve">условий для развития инвестиционной деятельности. Управление </w:t>
      </w:r>
      <w:r>
        <w:rPr>
          <w:rFonts w:ascii="Times New Roman CYR" w:hAnsi="Times New Roman CYR" w:cs="Times New Roman CYR"/>
          <w:color w:val="000000"/>
          <w:sz w:val="28"/>
          <w:szCs w:val="28"/>
        </w:rPr>
        <w:t>инвестиционной деятельностью предполагает обеспечение инве</w:t>
      </w:r>
      <w:r>
        <w:rPr>
          <w:rFonts w:ascii="Times New Roman CYR" w:hAnsi="Times New Roman CYR" w:cs="Times New Roman CYR"/>
          <w:color w:val="000000"/>
          <w:spacing w:val="5"/>
          <w:sz w:val="28"/>
          <w:szCs w:val="28"/>
        </w:rPr>
        <w:t xml:space="preserve">стиционной привлекательности объектов инвестирования на </w:t>
      </w:r>
      <w:r>
        <w:rPr>
          <w:rFonts w:ascii="Times New Roman CYR" w:hAnsi="Times New Roman CYR" w:cs="Times New Roman CYR"/>
          <w:color w:val="000000"/>
          <w:spacing w:val="1"/>
          <w:sz w:val="28"/>
          <w:szCs w:val="28"/>
        </w:rPr>
        <w:t>уровне страны, региона, отрасли, предприятия, отдельного про</w:t>
      </w:r>
      <w:r>
        <w:rPr>
          <w:rFonts w:ascii="Times New Roman CYR" w:hAnsi="Times New Roman CYR" w:cs="Times New Roman CYR"/>
          <w:color w:val="000000"/>
          <w:spacing w:val="-5"/>
          <w:sz w:val="28"/>
          <w:szCs w:val="28"/>
        </w:rPr>
        <w:t>екта.</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1"/>
          <w:sz w:val="28"/>
          <w:szCs w:val="28"/>
        </w:rPr>
        <w:t>Инвестор, а в особенности иностранный, начинает изучение инвестиционного рынка с исследования макроэкономических показателей. Оценка инвестиционной привлекательности на уровне страны включает изучение следующих прогнозов: динамики ва</w:t>
      </w:r>
      <w:r>
        <w:rPr>
          <w:rFonts w:ascii="Times New Roman CYR" w:hAnsi="Times New Roman CYR" w:cs="Times New Roman CYR"/>
          <w:color w:val="000000"/>
          <w:spacing w:val="1"/>
          <w:sz w:val="28"/>
          <w:szCs w:val="28"/>
        </w:rPr>
        <w:t xml:space="preserve">лового внутреннего продукта, </w:t>
      </w:r>
      <w:r>
        <w:rPr>
          <w:rFonts w:ascii="Times New Roman CYR" w:hAnsi="Times New Roman CYR" w:cs="Times New Roman CYR"/>
          <w:color w:val="000000"/>
          <w:spacing w:val="1"/>
          <w:sz w:val="28"/>
          <w:szCs w:val="28"/>
        </w:rPr>
        <w:lastRenderedPageBreak/>
        <w:t xml:space="preserve">национального дохода и объемов </w:t>
      </w:r>
      <w:r>
        <w:rPr>
          <w:rFonts w:ascii="Times New Roman CYR" w:hAnsi="Times New Roman CYR" w:cs="Times New Roman CYR"/>
          <w:color w:val="000000"/>
          <w:sz w:val="28"/>
          <w:szCs w:val="28"/>
        </w:rPr>
        <w:t>производства промышленной продукции; динамики распределе</w:t>
      </w:r>
      <w:r>
        <w:rPr>
          <w:rFonts w:ascii="Times New Roman CYR" w:hAnsi="Times New Roman CYR" w:cs="Times New Roman CYR"/>
          <w:color w:val="000000"/>
          <w:spacing w:val="1"/>
          <w:sz w:val="28"/>
          <w:szCs w:val="28"/>
        </w:rPr>
        <w:t>ния национального дохода; развития приватизационных процессов; законодательного регулирования инвестиционной деятель</w:t>
      </w:r>
      <w:r>
        <w:rPr>
          <w:rFonts w:ascii="Times New Roman CYR" w:hAnsi="Times New Roman CYR" w:cs="Times New Roman CYR"/>
          <w:color w:val="000000"/>
          <w:spacing w:val="-2"/>
          <w:sz w:val="28"/>
          <w:szCs w:val="28"/>
        </w:rPr>
        <w:t>ности; функционирования налоговой и банковской систем; разви</w:t>
      </w:r>
      <w:r>
        <w:rPr>
          <w:rFonts w:ascii="Times New Roman CYR" w:hAnsi="Times New Roman CYR" w:cs="Times New Roman CYR"/>
          <w:color w:val="000000"/>
          <w:spacing w:val="1"/>
          <w:sz w:val="28"/>
          <w:szCs w:val="28"/>
        </w:rPr>
        <w:t>тия фондового, денежного и других инвестиционных рынков. Значения показателей, характеризующих выше названные груп</w:t>
      </w:r>
      <w:r>
        <w:rPr>
          <w:rFonts w:ascii="Times New Roman CYR" w:hAnsi="Times New Roman CYR" w:cs="Times New Roman CYR"/>
          <w:color w:val="000000"/>
          <w:spacing w:val="-1"/>
          <w:sz w:val="28"/>
          <w:szCs w:val="28"/>
        </w:rPr>
        <w:t>пы, определяются экспертно, либо расчетно-аналитическим мето</w:t>
      </w:r>
      <w:r>
        <w:rPr>
          <w:rFonts w:ascii="Times New Roman CYR" w:hAnsi="Times New Roman CYR" w:cs="Times New Roman CYR"/>
          <w:color w:val="000000"/>
          <w:spacing w:val="1"/>
          <w:sz w:val="28"/>
          <w:szCs w:val="28"/>
        </w:rPr>
        <w:t>дом по десятибалльной шкале. Периодические публикации рей</w:t>
      </w:r>
      <w:r>
        <w:rPr>
          <w:rFonts w:ascii="Times New Roman CYR" w:hAnsi="Times New Roman CYR" w:cs="Times New Roman CYR"/>
          <w:color w:val="000000"/>
          <w:spacing w:val="-1"/>
          <w:sz w:val="28"/>
          <w:szCs w:val="28"/>
        </w:rPr>
        <w:t>тингов стран мира являются ориентиром для отечественных и за</w:t>
      </w:r>
      <w:r>
        <w:rPr>
          <w:rFonts w:ascii="Times New Roman CYR" w:hAnsi="Times New Roman CYR" w:cs="Times New Roman CYR"/>
          <w:color w:val="000000"/>
          <w:spacing w:val="3"/>
          <w:sz w:val="28"/>
          <w:szCs w:val="28"/>
        </w:rPr>
        <w:t>рубежных инвесторов. Экономические журналы мира «Euro-</w:t>
      </w:r>
      <w:r>
        <w:rPr>
          <w:rFonts w:ascii="Times New Roman CYR" w:hAnsi="Times New Roman CYR" w:cs="Times New Roman CYR"/>
          <w:color w:val="000000"/>
          <w:spacing w:val="-1"/>
          <w:sz w:val="28"/>
          <w:szCs w:val="28"/>
        </w:rPr>
        <w:t xml:space="preserve">money», «Fortune», «The Economist» и др. до последнего времени </w:t>
      </w:r>
      <w:r>
        <w:rPr>
          <w:rFonts w:ascii="Times New Roman CYR" w:hAnsi="Times New Roman CYR" w:cs="Times New Roman CYR"/>
          <w:color w:val="000000"/>
          <w:spacing w:val="1"/>
          <w:sz w:val="28"/>
          <w:szCs w:val="28"/>
        </w:rPr>
        <w:t xml:space="preserve">отводили нашей стране незавидные места по ее инвестиционной </w:t>
      </w:r>
      <w:r>
        <w:rPr>
          <w:rFonts w:ascii="Times New Roman CYR" w:hAnsi="Times New Roman CYR" w:cs="Times New Roman CYR"/>
          <w:color w:val="000000"/>
          <w:spacing w:val="-1"/>
          <w:sz w:val="28"/>
          <w:szCs w:val="28"/>
        </w:rPr>
        <w:t>привлекательности.</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1"/>
          <w:sz w:val="28"/>
          <w:szCs w:val="28"/>
        </w:rPr>
        <w:t>Инвестиционную привлекательность региона характери</w:t>
      </w:r>
      <w:r>
        <w:rPr>
          <w:rFonts w:ascii="Times New Roman CYR" w:hAnsi="Times New Roman CYR" w:cs="Times New Roman CYR"/>
          <w:color w:val="000000"/>
          <w:spacing w:val="1"/>
          <w:sz w:val="28"/>
          <w:szCs w:val="28"/>
        </w:rPr>
        <w:t>зуют его объективные предпосылки для инвестирования: инвестиционный потенциал и уровень некоммерческих рисков. Инве</w:t>
      </w:r>
      <w:r>
        <w:rPr>
          <w:rFonts w:ascii="Times New Roman CYR" w:hAnsi="Times New Roman CYR" w:cs="Times New Roman CYR"/>
          <w:color w:val="000000"/>
          <w:spacing w:val="-2"/>
          <w:sz w:val="28"/>
          <w:szCs w:val="28"/>
        </w:rPr>
        <w:t>стиционный потенциал формируется в зависимости от разнообра</w:t>
      </w:r>
      <w:r>
        <w:rPr>
          <w:rFonts w:ascii="Times New Roman CYR" w:hAnsi="Times New Roman CYR" w:cs="Times New Roman CYR"/>
          <w:color w:val="000000"/>
          <w:spacing w:val="3"/>
          <w:sz w:val="28"/>
          <w:szCs w:val="28"/>
        </w:rPr>
        <w:t>зия и экономического состояния сфер и объектов инвестирова</w:t>
      </w:r>
      <w:r>
        <w:rPr>
          <w:rFonts w:ascii="Times New Roman CYR" w:hAnsi="Times New Roman CYR" w:cs="Times New Roman CYR"/>
          <w:color w:val="000000"/>
          <w:spacing w:val="1"/>
          <w:sz w:val="28"/>
          <w:szCs w:val="28"/>
        </w:rPr>
        <w:t>ния. Оценивается инвестиционный потенциал с помощью сле</w:t>
      </w:r>
      <w:r>
        <w:rPr>
          <w:rFonts w:ascii="Times New Roman CYR" w:hAnsi="Times New Roman CYR" w:cs="Times New Roman CYR"/>
          <w:color w:val="000000"/>
          <w:spacing w:val="-1"/>
          <w:sz w:val="28"/>
          <w:szCs w:val="28"/>
        </w:rPr>
        <w:t>дующих показателей:</w:t>
      </w:r>
    </w:p>
    <w:p w:rsidR="00BC46F9" w:rsidRDefault="00BC46F9" w:rsidP="00BE410E">
      <w:pPr>
        <w:widowControl w:val="0"/>
        <w:numPr>
          <w:ilvl w:val="0"/>
          <w:numId w:val="2"/>
        </w:numPr>
        <w:shd w:val="clear" w:color="auto" w:fill="FFFFFF"/>
        <w:tabs>
          <w:tab w:val="left" w:pos="93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5"/>
          <w:sz w:val="28"/>
          <w:szCs w:val="28"/>
        </w:rPr>
        <w:t xml:space="preserve">обеспеченность территории региона запасами основных </w:t>
      </w:r>
      <w:r>
        <w:rPr>
          <w:rFonts w:ascii="Times New Roman CYR" w:hAnsi="Times New Roman CYR" w:cs="Times New Roman CYR"/>
          <w:color w:val="000000"/>
          <w:sz w:val="28"/>
          <w:szCs w:val="28"/>
        </w:rPr>
        <w:t>видов природных ресурсов (ресурсно-сырьевой потенциал);</w:t>
      </w:r>
    </w:p>
    <w:p w:rsidR="00BC46F9" w:rsidRDefault="00BC46F9" w:rsidP="00BE410E">
      <w:pPr>
        <w:widowControl w:val="0"/>
        <w:numPr>
          <w:ilvl w:val="0"/>
          <w:numId w:val="2"/>
        </w:numPr>
        <w:shd w:val="clear" w:color="auto" w:fill="FFFFFF"/>
        <w:tabs>
          <w:tab w:val="left" w:pos="93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2"/>
          <w:sz w:val="28"/>
          <w:szCs w:val="28"/>
        </w:rPr>
        <w:t>совокупный результат хозяйственной деятельности пред</w:t>
      </w:r>
      <w:r>
        <w:rPr>
          <w:rFonts w:ascii="Times New Roman CYR" w:hAnsi="Times New Roman CYR" w:cs="Times New Roman CYR"/>
          <w:color w:val="000000"/>
          <w:sz w:val="28"/>
          <w:szCs w:val="28"/>
        </w:rPr>
        <w:t>приятий региона (производственный потенциал региона);</w:t>
      </w:r>
    </w:p>
    <w:p w:rsidR="00BC46F9" w:rsidRDefault="00BC46F9" w:rsidP="00BE410E">
      <w:pPr>
        <w:widowControl w:val="0"/>
        <w:numPr>
          <w:ilvl w:val="0"/>
          <w:numId w:val="2"/>
        </w:numPr>
        <w:shd w:val="clear" w:color="auto" w:fill="FFFFFF"/>
        <w:tabs>
          <w:tab w:val="left" w:pos="93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3"/>
          <w:sz w:val="28"/>
          <w:szCs w:val="28"/>
        </w:rPr>
        <w:t>покупательная способность населения региона (потреби</w:t>
      </w:r>
      <w:r>
        <w:rPr>
          <w:rFonts w:ascii="Times New Roman CYR" w:hAnsi="Times New Roman CYR" w:cs="Times New Roman CYR"/>
          <w:color w:val="000000"/>
          <w:spacing w:val="-1"/>
          <w:sz w:val="28"/>
          <w:szCs w:val="28"/>
        </w:rPr>
        <w:t>тельский потенциал);</w:t>
      </w:r>
    </w:p>
    <w:p w:rsidR="00BC46F9" w:rsidRDefault="00BC46F9" w:rsidP="00BE410E">
      <w:pPr>
        <w:widowControl w:val="0"/>
        <w:numPr>
          <w:ilvl w:val="0"/>
          <w:numId w:val="2"/>
        </w:numPr>
        <w:shd w:val="clear" w:color="auto" w:fill="FFFFFF"/>
        <w:tabs>
          <w:tab w:val="left" w:pos="93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2"/>
          <w:sz w:val="28"/>
          <w:szCs w:val="28"/>
        </w:rPr>
        <w:t xml:space="preserve">экономико-географическое положение и инфраструктурная </w:t>
      </w:r>
      <w:r>
        <w:rPr>
          <w:rFonts w:ascii="Times New Roman CYR" w:hAnsi="Times New Roman CYR" w:cs="Times New Roman CYR"/>
          <w:color w:val="000000"/>
          <w:sz w:val="28"/>
          <w:szCs w:val="28"/>
        </w:rPr>
        <w:t>насыщенность территории региона (инфраструктурный потенци</w:t>
      </w:r>
      <w:r>
        <w:rPr>
          <w:rFonts w:ascii="Times New Roman CYR" w:hAnsi="Times New Roman CYR" w:cs="Times New Roman CYR"/>
          <w:color w:val="000000"/>
          <w:spacing w:val="-7"/>
          <w:sz w:val="28"/>
          <w:szCs w:val="28"/>
        </w:rPr>
        <w:t>ал);</w:t>
      </w:r>
    </w:p>
    <w:p w:rsidR="00BC46F9" w:rsidRDefault="00BC46F9" w:rsidP="00BE410E">
      <w:pPr>
        <w:widowControl w:val="0"/>
        <w:numPr>
          <w:ilvl w:val="0"/>
          <w:numId w:val="2"/>
        </w:numPr>
        <w:shd w:val="clear" w:color="auto" w:fill="FFFFFF"/>
        <w:tabs>
          <w:tab w:val="left" w:pos="93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1"/>
          <w:sz w:val="28"/>
          <w:szCs w:val="28"/>
        </w:rPr>
        <w:t>комплекс научно-технической деятельности в регионе (инновационный потенциал);</w:t>
      </w:r>
    </w:p>
    <w:p w:rsidR="00BC46F9" w:rsidRDefault="00BC46F9" w:rsidP="00BE410E">
      <w:pPr>
        <w:widowControl w:val="0"/>
        <w:numPr>
          <w:ilvl w:val="0"/>
          <w:numId w:val="2"/>
        </w:numPr>
        <w:shd w:val="clear" w:color="auto" w:fill="FFFFFF"/>
        <w:tabs>
          <w:tab w:val="left" w:pos="93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численность экономически активного населения региона и его образовательный уровень (трудовой потенциал);</w:t>
      </w:r>
    </w:p>
    <w:p w:rsidR="00BC46F9" w:rsidRDefault="00BC46F9" w:rsidP="00BE410E">
      <w:pPr>
        <w:widowControl w:val="0"/>
        <w:numPr>
          <w:ilvl w:val="0"/>
          <w:numId w:val="2"/>
        </w:numPr>
        <w:shd w:val="clear" w:color="auto" w:fill="FFFFFF"/>
        <w:tabs>
          <w:tab w:val="left" w:pos="93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3"/>
          <w:sz w:val="28"/>
          <w:szCs w:val="28"/>
        </w:rPr>
        <w:t>развитие региональной системы ведущих институтов ры</w:t>
      </w:r>
      <w:r>
        <w:rPr>
          <w:rFonts w:ascii="Times New Roman CYR" w:hAnsi="Times New Roman CYR" w:cs="Times New Roman CYR"/>
          <w:color w:val="000000"/>
          <w:spacing w:val="-1"/>
          <w:sz w:val="28"/>
          <w:szCs w:val="28"/>
        </w:rPr>
        <w:t>ночной экономики (институциональный потенциал);</w:t>
      </w:r>
    </w:p>
    <w:p w:rsidR="00BC46F9" w:rsidRDefault="00BC46F9" w:rsidP="00BE410E">
      <w:pPr>
        <w:widowControl w:val="0"/>
        <w:numPr>
          <w:ilvl w:val="0"/>
          <w:numId w:val="2"/>
        </w:numPr>
        <w:shd w:val="clear" w:color="auto" w:fill="FFFFFF"/>
        <w:tabs>
          <w:tab w:val="left" w:pos="93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3"/>
          <w:sz w:val="28"/>
          <w:szCs w:val="28"/>
        </w:rPr>
        <w:t>налоговые поступления в бюджетную систему с террито</w:t>
      </w:r>
      <w:r>
        <w:rPr>
          <w:rFonts w:ascii="Times New Roman CYR" w:hAnsi="Times New Roman CYR" w:cs="Times New Roman CYR"/>
          <w:color w:val="000000"/>
          <w:sz w:val="28"/>
          <w:szCs w:val="28"/>
        </w:rPr>
        <w:t>рии региона (финансовый потенциал).</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Уровень некоммерческого инвестиционного риска позволя</w:t>
      </w:r>
      <w:r>
        <w:rPr>
          <w:rFonts w:ascii="Times New Roman CYR" w:hAnsi="Times New Roman CYR" w:cs="Times New Roman CYR"/>
          <w:color w:val="000000"/>
          <w:spacing w:val="5"/>
          <w:sz w:val="28"/>
          <w:szCs w:val="28"/>
        </w:rPr>
        <w:t xml:space="preserve">ет оценить вероятность потери инвестиций и дохода от них за </w:t>
      </w:r>
      <w:r>
        <w:rPr>
          <w:rFonts w:ascii="Times New Roman CYR" w:hAnsi="Times New Roman CYR" w:cs="Times New Roman CYR"/>
          <w:color w:val="000000"/>
          <w:spacing w:val="-1"/>
          <w:sz w:val="28"/>
          <w:szCs w:val="28"/>
        </w:rPr>
        <w:t xml:space="preserve">счет экономического, финансового, политического, социального, </w:t>
      </w:r>
      <w:r>
        <w:rPr>
          <w:rFonts w:ascii="Times New Roman CYR" w:hAnsi="Times New Roman CYR" w:cs="Times New Roman CYR"/>
          <w:color w:val="000000"/>
          <w:sz w:val="28"/>
          <w:szCs w:val="28"/>
        </w:rPr>
        <w:t>экологического, криминального, законодательного рисков.</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1"/>
          <w:sz w:val="28"/>
          <w:szCs w:val="28"/>
        </w:rPr>
        <w:t xml:space="preserve">Количественно инвестиционная привлекательность региона </w:t>
      </w:r>
      <w:r>
        <w:rPr>
          <w:rFonts w:ascii="Times New Roman CYR" w:hAnsi="Times New Roman CYR" w:cs="Times New Roman CYR"/>
          <w:color w:val="000000"/>
          <w:spacing w:val="4"/>
          <w:sz w:val="28"/>
          <w:szCs w:val="28"/>
        </w:rPr>
        <w:t xml:space="preserve">определяется объемом капитальных вложений, которые могут </w:t>
      </w:r>
      <w:r>
        <w:rPr>
          <w:rFonts w:ascii="Times New Roman CYR" w:hAnsi="Times New Roman CYR" w:cs="Times New Roman CYR"/>
          <w:color w:val="000000"/>
          <w:spacing w:val="-1"/>
          <w:sz w:val="28"/>
          <w:szCs w:val="28"/>
        </w:rPr>
        <w:t>быть привлечены в регион исходя из его инвестиционного потен</w:t>
      </w:r>
      <w:r>
        <w:rPr>
          <w:rFonts w:ascii="Times New Roman CYR" w:hAnsi="Times New Roman CYR" w:cs="Times New Roman CYR"/>
          <w:color w:val="000000"/>
          <w:spacing w:val="1"/>
          <w:sz w:val="28"/>
          <w:szCs w:val="28"/>
        </w:rPr>
        <w:t xml:space="preserve">циала и уровня некоммерческого инвестиционного риска. При составлении рейтингов инвестиционной привлекательности российских регионов наиболее распространенным является метод </w:t>
      </w:r>
      <w:r>
        <w:rPr>
          <w:rFonts w:ascii="Times New Roman CYR" w:hAnsi="Times New Roman CYR" w:cs="Times New Roman CYR"/>
          <w:color w:val="000000"/>
          <w:sz w:val="28"/>
          <w:szCs w:val="28"/>
        </w:rPr>
        <w:t>ранжирования, рассматривающий инвестиционную привлека</w:t>
      </w:r>
      <w:r>
        <w:rPr>
          <w:rFonts w:ascii="Times New Roman CYR" w:hAnsi="Times New Roman CYR" w:cs="Times New Roman CYR"/>
          <w:color w:val="000000"/>
          <w:spacing w:val="-1"/>
          <w:sz w:val="28"/>
          <w:szCs w:val="28"/>
        </w:rPr>
        <w:t>тельность как комплексную характеристику инвестиционного потенциала и инвестиционного риска. Согласно методу ранжирова</w:t>
      </w:r>
      <w:r>
        <w:rPr>
          <w:rFonts w:ascii="Times New Roman CYR" w:hAnsi="Times New Roman CYR" w:cs="Times New Roman CYR"/>
          <w:color w:val="000000"/>
          <w:sz w:val="28"/>
          <w:szCs w:val="28"/>
        </w:rPr>
        <w:t xml:space="preserve">ния только 6 % российских регионов располагают высоким, 21 % </w:t>
      </w:r>
      <w:r>
        <w:rPr>
          <w:rFonts w:ascii="Times New Roman CYR" w:hAnsi="Times New Roman CYR" w:cs="Times New Roman CYR"/>
          <w:color w:val="000000"/>
          <w:spacing w:val="1"/>
          <w:sz w:val="28"/>
          <w:szCs w:val="28"/>
        </w:rPr>
        <w:t>- средним инвестиционным потенциалом и 73 % - низким инве</w:t>
      </w:r>
      <w:r>
        <w:rPr>
          <w:rFonts w:ascii="Times New Roman CYR" w:hAnsi="Times New Roman CYR" w:cs="Times New Roman CYR"/>
          <w:color w:val="000000"/>
          <w:spacing w:val="5"/>
          <w:sz w:val="28"/>
          <w:szCs w:val="28"/>
        </w:rPr>
        <w:t xml:space="preserve">стиционным потенциалом. Последние 73 % регионов не имеют </w:t>
      </w:r>
      <w:r>
        <w:rPr>
          <w:rFonts w:ascii="Times New Roman CYR" w:hAnsi="Times New Roman CYR" w:cs="Times New Roman CYR"/>
          <w:color w:val="000000"/>
          <w:spacing w:val="1"/>
          <w:sz w:val="28"/>
          <w:szCs w:val="28"/>
        </w:rPr>
        <w:t>возможности самостоятельно обеспечить устойчивое инвестиро</w:t>
      </w:r>
      <w:r>
        <w:rPr>
          <w:rFonts w:ascii="Times New Roman CYR" w:hAnsi="Times New Roman CYR" w:cs="Times New Roman CYR"/>
          <w:color w:val="000000"/>
          <w:spacing w:val="-1"/>
          <w:sz w:val="28"/>
          <w:szCs w:val="28"/>
        </w:rPr>
        <w:t>вание своей экономики.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1"/>
          <w:sz w:val="28"/>
          <w:szCs w:val="28"/>
        </w:rPr>
        <w:t xml:space="preserve">Метод однозначной количественной оценки инвестиционной </w:t>
      </w:r>
      <w:r>
        <w:rPr>
          <w:rFonts w:ascii="Times New Roman CYR" w:hAnsi="Times New Roman CYR" w:cs="Times New Roman CYR"/>
          <w:color w:val="000000"/>
          <w:spacing w:val="3"/>
          <w:sz w:val="28"/>
          <w:szCs w:val="28"/>
        </w:rPr>
        <w:t>привлекательности основан на анализе следующих характери</w:t>
      </w:r>
      <w:r>
        <w:rPr>
          <w:rFonts w:ascii="Times New Roman CYR" w:hAnsi="Times New Roman CYR" w:cs="Times New Roman CYR"/>
          <w:color w:val="000000"/>
          <w:spacing w:val="-5"/>
          <w:sz w:val="28"/>
          <w:szCs w:val="28"/>
        </w:rPr>
        <w:t>стик:</w:t>
      </w:r>
    </w:p>
    <w:p w:rsidR="00BC46F9" w:rsidRDefault="00BC46F9" w:rsidP="00BE410E">
      <w:pPr>
        <w:widowControl w:val="0"/>
        <w:numPr>
          <w:ilvl w:val="0"/>
          <w:numId w:val="3"/>
        </w:numPr>
        <w:shd w:val="clear" w:color="auto" w:fill="FFFFFF"/>
        <w:tabs>
          <w:tab w:val="left" w:pos="1056"/>
        </w:tabs>
        <w:autoSpaceDE w:val="0"/>
        <w:autoSpaceDN w:val="0"/>
        <w:adjustRightInd w:val="0"/>
        <w:spacing w:after="0" w:line="360" w:lineRule="auto"/>
        <w:ind w:firstLine="709"/>
        <w:jc w:val="both"/>
        <w:rPr>
          <w:rFonts w:ascii="Times New Roman CYR" w:hAnsi="Times New Roman CYR" w:cs="Times New Roman CYR"/>
          <w:color w:val="000000"/>
          <w:spacing w:val="-24"/>
          <w:sz w:val="28"/>
          <w:szCs w:val="28"/>
        </w:rPr>
      </w:pPr>
      <w:r>
        <w:rPr>
          <w:rFonts w:ascii="Times New Roman CYR" w:hAnsi="Times New Roman CYR" w:cs="Times New Roman CYR"/>
          <w:color w:val="000000"/>
          <w:spacing w:val="2"/>
          <w:sz w:val="28"/>
          <w:szCs w:val="28"/>
        </w:rPr>
        <w:t>Уровень общеэкономического развития, который оцени</w:t>
      </w:r>
      <w:r>
        <w:rPr>
          <w:rFonts w:ascii="Times New Roman CYR" w:hAnsi="Times New Roman CYR" w:cs="Times New Roman CYR"/>
          <w:color w:val="000000"/>
          <w:spacing w:val="-1"/>
          <w:sz w:val="28"/>
          <w:szCs w:val="28"/>
        </w:rPr>
        <w:t xml:space="preserve">вается с помощью таких показателей, как удельный вес региона в </w:t>
      </w:r>
      <w:r>
        <w:rPr>
          <w:rFonts w:ascii="Times New Roman CYR" w:hAnsi="Times New Roman CYR" w:cs="Times New Roman CYR"/>
          <w:color w:val="000000"/>
          <w:spacing w:val="3"/>
          <w:sz w:val="28"/>
          <w:szCs w:val="28"/>
        </w:rPr>
        <w:t>ВВП, объем производства промышленной и сельскохозяйствен</w:t>
      </w:r>
      <w:r>
        <w:rPr>
          <w:rFonts w:ascii="Times New Roman CYR" w:hAnsi="Times New Roman CYR" w:cs="Times New Roman CYR"/>
          <w:color w:val="000000"/>
          <w:spacing w:val="7"/>
          <w:sz w:val="28"/>
          <w:szCs w:val="28"/>
        </w:rPr>
        <w:t xml:space="preserve">ной продукции в расчете на </w:t>
      </w:r>
      <w:r>
        <w:rPr>
          <w:rFonts w:ascii="Times New Roman CYR" w:hAnsi="Times New Roman CYR" w:cs="Times New Roman CYR"/>
          <w:color w:val="000000"/>
          <w:spacing w:val="7"/>
          <w:sz w:val="28"/>
          <w:szCs w:val="28"/>
        </w:rPr>
        <w:lastRenderedPageBreak/>
        <w:t xml:space="preserve">душу населения, средний уровень </w:t>
      </w:r>
      <w:r>
        <w:rPr>
          <w:rFonts w:ascii="Times New Roman CYR" w:hAnsi="Times New Roman CYR" w:cs="Times New Roman CYR"/>
          <w:color w:val="000000"/>
          <w:spacing w:val="-1"/>
          <w:sz w:val="28"/>
          <w:szCs w:val="28"/>
        </w:rPr>
        <w:t>доходов населения региона.</w:t>
      </w:r>
    </w:p>
    <w:p w:rsidR="00BC46F9" w:rsidRDefault="00BC46F9" w:rsidP="00BE410E">
      <w:pPr>
        <w:widowControl w:val="0"/>
        <w:numPr>
          <w:ilvl w:val="0"/>
          <w:numId w:val="3"/>
        </w:numPr>
        <w:shd w:val="clear" w:color="auto" w:fill="FFFFFF"/>
        <w:tabs>
          <w:tab w:val="left" w:pos="1056"/>
        </w:tabs>
        <w:autoSpaceDE w:val="0"/>
        <w:autoSpaceDN w:val="0"/>
        <w:adjustRightInd w:val="0"/>
        <w:spacing w:after="0" w:line="360" w:lineRule="auto"/>
        <w:ind w:firstLine="709"/>
        <w:jc w:val="both"/>
        <w:rPr>
          <w:rFonts w:ascii="Times New Roman CYR" w:hAnsi="Times New Roman CYR" w:cs="Times New Roman CYR"/>
          <w:color w:val="000000"/>
          <w:spacing w:val="-12"/>
          <w:sz w:val="28"/>
          <w:szCs w:val="28"/>
        </w:rPr>
      </w:pPr>
      <w:r>
        <w:rPr>
          <w:rFonts w:ascii="Times New Roman CYR" w:hAnsi="Times New Roman CYR" w:cs="Times New Roman CYR"/>
          <w:color w:val="000000"/>
          <w:spacing w:val="-1"/>
          <w:sz w:val="28"/>
          <w:szCs w:val="28"/>
        </w:rPr>
        <w:t>Уровень инвестиционной инфраструктуры характеризуют такие показатели, как:</w:t>
      </w:r>
    </w:p>
    <w:p w:rsidR="00BC46F9" w:rsidRDefault="00BC46F9" w:rsidP="00BE410E">
      <w:pPr>
        <w:widowControl w:val="0"/>
        <w:numPr>
          <w:ilvl w:val="0"/>
          <w:numId w:val="2"/>
        </w:numPr>
        <w:shd w:val="clear" w:color="auto" w:fill="FFFFFF"/>
        <w:tabs>
          <w:tab w:val="left" w:pos="902"/>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число подрядных строительных организаций в регионе;</w:t>
      </w:r>
    </w:p>
    <w:p w:rsidR="00BC46F9" w:rsidRDefault="00BC46F9" w:rsidP="00BE410E">
      <w:pPr>
        <w:widowControl w:val="0"/>
        <w:numPr>
          <w:ilvl w:val="0"/>
          <w:numId w:val="2"/>
        </w:numPr>
        <w:shd w:val="clear" w:color="auto" w:fill="FFFFFF"/>
        <w:tabs>
          <w:tab w:val="left" w:pos="902"/>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8"/>
          <w:sz w:val="28"/>
          <w:szCs w:val="28"/>
        </w:rPr>
        <w:t xml:space="preserve">объемы местного производства основных строительных </w:t>
      </w:r>
      <w:r>
        <w:rPr>
          <w:rFonts w:ascii="Times New Roman CYR" w:hAnsi="Times New Roman CYR" w:cs="Times New Roman CYR"/>
          <w:color w:val="000000"/>
          <w:spacing w:val="-2"/>
          <w:sz w:val="28"/>
          <w:szCs w:val="28"/>
        </w:rPr>
        <w:t>материалов;</w:t>
      </w:r>
    </w:p>
    <w:p w:rsidR="00BC46F9" w:rsidRDefault="00BC46F9" w:rsidP="00BE410E">
      <w:pPr>
        <w:widowControl w:val="0"/>
        <w:numPr>
          <w:ilvl w:val="0"/>
          <w:numId w:val="2"/>
        </w:numPr>
        <w:shd w:val="clear" w:color="auto" w:fill="FFFFFF"/>
        <w:tabs>
          <w:tab w:val="left" w:pos="902"/>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1"/>
          <w:sz w:val="28"/>
          <w:szCs w:val="28"/>
        </w:rPr>
        <w:t>объем производства энергетических ресурсов;</w:t>
      </w:r>
    </w:p>
    <w:p w:rsidR="00BC46F9" w:rsidRDefault="00BC46F9" w:rsidP="00BE410E">
      <w:pPr>
        <w:widowControl w:val="0"/>
        <w:numPr>
          <w:ilvl w:val="0"/>
          <w:numId w:val="2"/>
        </w:numPr>
        <w:shd w:val="clear" w:color="auto" w:fill="FFFFFF"/>
        <w:tabs>
          <w:tab w:val="left" w:pos="902"/>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3"/>
          <w:sz w:val="28"/>
          <w:szCs w:val="28"/>
        </w:rPr>
        <w:t>плотность железнодорожных путей сообщения и автомо</w:t>
      </w:r>
      <w:r>
        <w:rPr>
          <w:rFonts w:ascii="Times New Roman CYR" w:hAnsi="Times New Roman CYR" w:cs="Times New Roman CYR"/>
          <w:color w:val="000000"/>
          <w:spacing w:val="-1"/>
          <w:sz w:val="28"/>
          <w:szCs w:val="28"/>
        </w:rPr>
        <w:t>бильных дорог с твердым покрытием в регионе на 100 кв. км территории;</w:t>
      </w:r>
    </w:p>
    <w:p w:rsidR="00BC46F9" w:rsidRDefault="00BC46F9" w:rsidP="00BE410E">
      <w:pPr>
        <w:widowControl w:val="0"/>
        <w:numPr>
          <w:ilvl w:val="0"/>
          <w:numId w:val="2"/>
        </w:numPr>
        <w:shd w:val="clear" w:color="auto" w:fill="FFFFFF"/>
        <w:tabs>
          <w:tab w:val="left" w:pos="90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3"/>
          <w:sz w:val="28"/>
          <w:szCs w:val="28"/>
        </w:rPr>
        <w:t>наличие фондовых и товарных бирж, количество брокер</w:t>
      </w:r>
      <w:r>
        <w:rPr>
          <w:rFonts w:ascii="Times New Roman CYR" w:hAnsi="Times New Roman CYR" w:cs="Times New Roman CYR"/>
          <w:color w:val="000000"/>
          <w:spacing w:val="2"/>
          <w:sz w:val="28"/>
          <w:szCs w:val="28"/>
        </w:rPr>
        <w:t xml:space="preserve">ских контор, осуществляющих операции на рынке ценных бумаг </w:t>
      </w:r>
      <w:r>
        <w:rPr>
          <w:rFonts w:ascii="Times New Roman CYR" w:hAnsi="Times New Roman CYR" w:cs="Times New Roman CYR"/>
          <w:color w:val="000000"/>
          <w:spacing w:val="-4"/>
          <w:sz w:val="28"/>
          <w:szCs w:val="28"/>
        </w:rPr>
        <w:t>и др.</w:t>
      </w:r>
    </w:p>
    <w:p w:rsidR="00BC46F9" w:rsidRDefault="00BC46F9" w:rsidP="00BE410E">
      <w:pPr>
        <w:widowControl w:val="0"/>
        <w:numPr>
          <w:ilvl w:val="0"/>
          <w:numId w:val="4"/>
        </w:numPr>
        <w:shd w:val="clear" w:color="auto" w:fill="FFFFFF"/>
        <w:tabs>
          <w:tab w:val="left" w:pos="1056"/>
        </w:tabs>
        <w:autoSpaceDE w:val="0"/>
        <w:autoSpaceDN w:val="0"/>
        <w:adjustRightInd w:val="0"/>
        <w:spacing w:after="0" w:line="360" w:lineRule="auto"/>
        <w:ind w:firstLine="709"/>
        <w:jc w:val="both"/>
        <w:rPr>
          <w:rFonts w:ascii="Times New Roman CYR" w:hAnsi="Times New Roman CYR" w:cs="Times New Roman CYR"/>
          <w:color w:val="000000"/>
          <w:spacing w:val="-12"/>
          <w:sz w:val="28"/>
          <w:szCs w:val="28"/>
        </w:rPr>
      </w:pPr>
      <w:r>
        <w:rPr>
          <w:rFonts w:ascii="Times New Roman CYR" w:hAnsi="Times New Roman CYR" w:cs="Times New Roman CYR"/>
          <w:color w:val="000000"/>
          <w:spacing w:val="3"/>
          <w:sz w:val="28"/>
          <w:szCs w:val="28"/>
        </w:rPr>
        <w:t>Демографическая характеристика региона, которая оце</w:t>
      </w:r>
      <w:r>
        <w:rPr>
          <w:rFonts w:ascii="Times New Roman CYR" w:hAnsi="Times New Roman CYR" w:cs="Times New Roman CYR"/>
          <w:color w:val="000000"/>
          <w:spacing w:val="5"/>
          <w:sz w:val="28"/>
          <w:szCs w:val="28"/>
        </w:rPr>
        <w:t>нивается с помощью показателей удельного веса населения ре</w:t>
      </w:r>
      <w:r>
        <w:rPr>
          <w:rFonts w:ascii="Times New Roman CYR" w:hAnsi="Times New Roman CYR" w:cs="Times New Roman CYR"/>
          <w:color w:val="000000"/>
          <w:spacing w:val="7"/>
          <w:sz w:val="28"/>
          <w:szCs w:val="28"/>
        </w:rPr>
        <w:t xml:space="preserve">гиона в общей численности страны, соотношения городских и </w:t>
      </w:r>
      <w:r>
        <w:rPr>
          <w:rFonts w:ascii="Times New Roman CYR" w:hAnsi="Times New Roman CYR" w:cs="Times New Roman CYR"/>
          <w:color w:val="000000"/>
          <w:sz w:val="28"/>
          <w:szCs w:val="28"/>
        </w:rPr>
        <w:t>сельских жителей, удельного веса работающего населения, уровня квалификации трудоспособного населения и др.</w:t>
      </w:r>
    </w:p>
    <w:p w:rsidR="00BC46F9" w:rsidRDefault="00BC46F9" w:rsidP="00BE410E">
      <w:pPr>
        <w:widowControl w:val="0"/>
        <w:numPr>
          <w:ilvl w:val="0"/>
          <w:numId w:val="4"/>
        </w:numPr>
        <w:shd w:val="clear" w:color="auto" w:fill="FFFFFF"/>
        <w:tabs>
          <w:tab w:val="left" w:pos="1056"/>
        </w:tabs>
        <w:autoSpaceDE w:val="0"/>
        <w:autoSpaceDN w:val="0"/>
        <w:adjustRightInd w:val="0"/>
        <w:spacing w:after="0" w:line="360" w:lineRule="auto"/>
        <w:ind w:firstLine="709"/>
        <w:jc w:val="both"/>
        <w:rPr>
          <w:rFonts w:ascii="Times New Roman CYR" w:hAnsi="Times New Roman CYR" w:cs="Times New Roman CYR"/>
          <w:color w:val="000000"/>
          <w:spacing w:val="-12"/>
          <w:sz w:val="28"/>
          <w:szCs w:val="28"/>
        </w:rPr>
      </w:pPr>
      <w:r>
        <w:rPr>
          <w:rFonts w:ascii="Times New Roman CYR" w:hAnsi="Times New Roman CYR" w:cs="Times New Roman CYR"/>
          <w:color w:val="000000"/>
          <w:spacing w:val="1"/>
          <w:sz w:val="28"/>
          <w:szCs w:val="28"/>
        </w:rPr>
        <w:t xml:space="preserve">Уровень развития рыночных отношений и коммерческой </w:t>
      </w:r>
      <w:r>
        <w:rPr>
          <w:rFonts w:ascii="Times New Roman CYR" w:hAnsi="Times New Roman CYR" w:cs="Times New Roman CYR"/>
          <w:color w:val="000000"/>
          <w:spacing w:val="-1"/>
          <w:sz w:val="28"/>
          <w:szCs w:val="28"/>
        </w:rPr>
        <w:t>инфраструктуры, которые оцениваются с помощью таких показа</w:t>
      </w:r>
      <w:r>
        <w:rPr>
          <w:rFonts w:ascii="Times New Roman CYR" w:hAnsi="Times New Roman CYR" w:cs="Times New Roman CYR"/>
          <w:color w:val="000000"/>
          <w:spacing w:val="3"/>
          <w:sz w:val="28"/>
          <w:szCs w:val="28"/>
        </w:rPr>
        <w:t>телей, как удельный вес предприятий негосударственной собст</w:t>
      </w:r>
      <w:r>
        <w:rPr>
          <w:rFonts w:ascii="Times New Roman CYR" w:hAnsi="Times New Roman CYR" w:cs="Times New Roman CYR"/>
          <w:color w:val="000000"/>
          <w:spacing w:val="1"/>
          <w:sz w:val="28"/>
          <w:szCs w:val="28"/>
        </w:rPr>
        <w:t>венности, число совместных предприятий с иностранными парт</w:t>
      </w:r>
      <w:r>
        <w:rPr>
          <w:rFonts w:ascii="Times New Roman CYR" w:hAnsi="Times New Roman CYR" w:cs="Times New Roman CYR"/>
          <w:color w:val="000000"/>
          <w:spacing w:val="-1"/>
          <w:sz w:val="28"/>
          <w:szCs w:val="28"/>
        </w:rPr>
        <w:t>нерами, количество страховых компаний в регионе.</w:t>
      </w:r>
    </w:p>
    <w:p w:rsidR="00BC46F9" w:rsidRDefault="00BC46F9" w:rsidP="00BE410E">
      <w:pPr>
        <w:widowControl w:val="0"/>
        <w:numPr>
          <w:ilvl w:val="0"/>
          <w:numId w:val="2"/>
        </w:numPr>
        <w:shd w:val="clear" w:color="auto" w:fill="FFFFFF"/>
        <w:tabs>
          <w:tab w:val="left" w:pos="902"/>
        </w:tabs>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Оценка степени безопасности инвестиционной деятельности осуществляется с помощью следующих показателей:</w:t>
      </w:r>
    </w:p>
    <w:p w:rsidR="00BC46F9" w:rsidRDefault="00BC46F9" w:rsidP="00BE410E">
      <w:pPr>
        <w:widowControl w:val="0"/>
        <w:numPr>
          <w:ilvl w:val="0"/>
          <w:numId w:val="2"/>
        </w:numPr>
        <w:shd w:val="clear" w:color="auto" w:fill="FFFFFF"/>
        <w:tabs>
          <w:tab w:val="left" w:pos="902"/>
        </w:tabs>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w:t>
      </w:r>
      <w:r>
        <w:rPr>
          <w:rFonts w:ascii="Times New Roman CYR" w:hAnsi="Times New Roman CYR" w:cs="Times New Roman CYR"/>
          <w:color w:val="000000"/>
          <w:spacing w:val="-1"/>
          <w:sz w:val="28"/>
          <w:szCs w:val="28"/>
        </w:rPr>
        <w:tab/>
        <w:t>уровень экономических преступлений в расчете на 100 тысяч жителей региона;</w:t>
      </w:r>
    </w:p>
    <w:p w:rsidR="00BC46F9" w:rsidRDefault="00BC46F9" w:rsidP="00BE410E">
      <w:pPr>
        <w:widowControl w:val="0"/>
        <w:numPr>
          <w:ilvl w:val="0"/>
          <w:numId w:val="2"/>
        </w:numPr>
        <w:shd w:val="clear" w:color="auto" w:fill="FFFFFF"/>
        <w:tabs>
          <w:tab w:val="left" w:pos="902"/>
        </w:tabs>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w:t>
      </w:r>
      <w:r>
        <w:rPr>
          <w:rFonts w:ascii="Times New Roman CYR" w:hAnsi="Times New Roman CYR" w:cs="Times New Roman CYR"/>
          <w:color w:val="000000"/>
          <w:spacing w:val="-1"/>
          <w:sz w:val="28"/>
          <w:szCs w:val="28"/>
        </w:rPr>
        <w:tab/>
        <w:t>удельный вес объектов незавершенного строительства в общем количестве строек, начатых за последние три года;</w:t>
      </w:r>
    </w:p>
    <w:p w:rsidR="00BC46F9" w:rsidRDefault="00BC46F9" w:rsidP="00BE410E">
      <w:pPr>
        <w:widowControl w:val="0"/>
        <w:numPr>
          <w:ilvl w:val="0"/>
          <w:numId w:val="2"/>
        </w:numPr>
        <w:shd w:val="clear" w:color="auto" w:fill="FFFFFF"/>
        <w:tabs>
          <w:tab w:val="left" w:pos="912"/>
        </w:tabs>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w:t>
      </w:r>
      <w:r>
        <w:rPr>
          <w:rFonts w:ascii="Times New Roman CYR" w:hAnsi="Times New Roman CYR" w:cs="Times New Roman CYR"/>
          <w:color w:val="000000"/>
          <w:spacing w:val="-1"/>
          <w:sz w:val="28"/>
          <w:szCs w:val="28"/>
        </w:rPr>
        <w:tab/>
        <w:t xml:space="preserve">удельный вес предприятий с вредными выбросами, превышающими </w:t>
      </w:r>
      <w:r>
        <w:rPr>
          <w:rFonts w:ascii="Times New Roman CYR" w:hAnsi="Times New Roman CYR" w:cs="Times New Roman CYR"/>
          <w:color w:val="000000"/>
          <w:spacing w:val="-1"/>
          <w:sz w:val="28"/>
          <w:szCs w:val="28"/>
        </w:rPr>
        <w:lastRenderedPageBreak/>
        <w:t>предельно допустимые нормы, в количестве предприятий региона;</w:t>
      </w:r>
    </w:p>
    <w:p w:rsidR="00BC46F9" w:rsidRDefault="00BC46F9" w:rsidP="00BE410E">
      <w:pPr>
        <w:widowControl w:val="0"/>
        <w:numPr>
          <w:ilvl w:val="0"/>
          <w:numId w:val="2"/>
        </w:numPr>
        <w:shd w:val="clear" w:color="auto" w:fill="FFFFFF"/>
        <w:tabs>
          <w:tab w:val="left" w:pos="912"/>
        </w:tabs>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w:t>
      </w:r>
      <w:r>
        <w:rPr>
          <w:rFonts w:ascii="Times New Roman CYR" w:hAnsi="Times New Roman CYR" w:cs="Times New Roman CYR"/>
          <w:color w:val="000000"/>
          <w:spacing w:val="-1"/>
          <w:sz w:val="28"/>
          <w:szCs w:val="28"/>
        </w:rPr>
        <w:tab/>
        <w:t>средний радиационный фон в городах региона и др.</w:t>
      </w:r>
    </w:p>
    <w:p w:rsidR="00BC46F9" w:rsidRDefault="00BC46F9" w:rsidP="00BE410E">
      <w:pPr>
        <w:widowControl w:val="0"/>
        <w:numPr>
          <w:ilvl w:val="0"/>
          <w:numId w:val="2"/>
        </w:numPr>
        <w:shd w:val="clear" w:color="auto" w:fill="FFFFFF"/>
        <w:tabs>
          <w:tab w:val="left" w:pos="912"/>
        </w:tabs>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Основная сложность оценки инвестиционной привлекательности региона состоит в том, чтобы правильно выбрать критерии и показатели ее оценки. Для получения более надежных результатов рекомендуется использовать несколько методов оценки инвестиционной привлекательности регионов одновременно и сравнивать полученные результаты.</w:t>
      </w:r>
    </w:p>
    <w:p w:rsidR="00BC46F9" w:rsidRDefault="00BC46F9" w:rsidP="00BE410E">
      <w:pPr>
        <w:widowControl w:val="0"/>
        <w:numPr>
          <w:ilvl w:val="0"/>
          <w:numId w:val="2"/>
        </w:numPr>
        <w:shd w:val="clear" w:color="auto" w:fill="FFFFFF"/>
        <w:tabs>
          <w:tab w:val="left" w:pos="902"/>
        </w:tabs>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Изучение инвестиционной привлекательности отдельных отраслей экономики содержит исследование конъюнктуры, динамики и перспектив развития потребностей общества в продукции отраслей, так как приоритеты в развитии отдельных отраслей определяют именно потребности общества.</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Понятие «управление» в наиболее общем виде можно трактовать как целенаправленное воздействие. Следовательно, важнейшим элементом управления является определение цели, т.к. именно она определяет эффективность достижения желаемого результата, и если цель сформулирована не верно, то и результат может иметь отрицательную форму. Значит, цель должна быть определена правильно и точно.</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Конкретизация цели имеет двойственность:</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 во-первых, общей предметной областью является особый вид, направленность функционирования конкретной организационно-экономической системы (инвестиционно-строительная сфера);</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 во-вторых, детализирующей характеристикой является один из видов деятельности людей, являющихся субъектами в данной системе.</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 xml:space="preserve">Говоря о единой цели развития регионального ИСК, можно дать следующую трактовку: генеральной целью инвестиционно-строительного комплекса является создание законченных строительных объектов, представляющих собой инфраструктуру для организации процессов </w:t>
      </w:r>
      <w:r>
        <w:rPr>
          <w:rFonts w:ascii="Times New Roman CYR" w:hAnsi="Times New Roman CYR" w:cs="Times New Roman CYR"/>
          <w:color w:val="000000"/>
          <w:spacing w:val="-1"/>
          <w:sz w:val="28"/>
          <w:szCs w:val="28"/>
        </w:rPr>
        <w:lastRenderedPageBreak/>
        <w:t>жизнедеятельности населения региона во всем многообразии ее составляющих.</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 динамический.</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Прежде всего, необходимо позиционировать уровень, в пределах которого инвестиционно - строительная сфера будет рассматриваться как объект управления (рис. 4)[1].</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p>
    <w:p w:rsidR="00BC46F9" w:rsidRDefault="00256C6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Microsoft Sans Serif" w:hAnsi="Microsoft Sans Serif" w:cs="Microsoft Sans Serif"/>
          <w:noProof/>
          <w:sz w:val="17"/>
          <w:szCs w:val="17"/>
        </w:rPr>
        <w:drawing>
          <wp:inline distT="0" distB="0" distL="0" distR="0">
            <wp:extent cx="4381500" cy="1581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1581150"/>
                    </a:xfrm>
                    <a:prstGeom prst="rect">
                      <a:avLst/>
                    </a:prstGeom>
                    <a:noFill/>
                    <a:ln>
                      <a:noFill/>
                    </a:ln>
                  </pic:spPr>
                </pic:pic>
              </a:graphicData>
            </a:graphic>
          </wp:inline>
        </w:drawing>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 xml:space="preserve">Рис. 4. Позиционирование инвестиционно-строительной сферы </w:t>
      </w:r>
      <w:r>
        <w:rPr>
          <w:rFonts w:ascii="Times New Roman CYR" w:hAnsi="Times New Roman CYR" w:cs="Times New Roman CYR"/>
          <w:sz w:val="28"/>
          <w:szCs w:val="28"/>
        </w:rPr>
        <w:t>[18]</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Одной из особенностей управления является соединение нескольких методологических подходов:</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 системный;</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 комплексный;</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 маркетинговый;</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 воспроизводственный;</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 функциональный;</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 градостроительный;</w:t>
      </w:r>
    </w:p>
    <w:p w:rsidR="00BC46F9" w:rsidRDefault="00BC46F9" w:rsidP="00BE410E">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объект управления, инвестиционно-строительная сфера является наиболее сложной, потому что в строительстве наибольшая роль живого труда, что говорит о минимальном объеме внедрения инноваций и уменьшает потенциал эффективности. Также сложности в управлении создает территориальная рассредоточенность объектов строительства и большое количество участников, задействованных в строительстве. </w:t>
      </w:r>
      <w:r>
        <w:rPr>
          <w:rFonts w:ascii="Times New Roman CYR" w:hAnsi="Times New Roman CYR" w:cs="Times New Roman CYR"/>
          <w:sz w:val="28"/>
          <w:szCs w:val="28"/>
        </w:rPr>
        <w:lastRenderedPageBreak/>
        <w:t>Инвестиционно-строительная сфера создает материальную основу нормальной жизнедеятельности человека, что говорит о ее повышенной социальной ответственности [4].</w:t>
      </w:r>
    </w:p>
    <w:p w:rsidR="00BC46F9" w:rsidRDefault="00BC46F9" w:rsidP="00BE410E">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6"/>
          <w:sz w:val="28"/>
          <w:szCs w:val="28"/>
        </w:rPr>
        <w:t xml:space="preserve">Поскольку проекты являются уникальными предприятиями, им присуща та или иная степень неопределенности. Организации, выполняющие проекты, обычно подразделяют каждый проект на несколько фаз проекта для улучшения управляемости и обеспечения взаимосвязи с повседневной деятельностью исполняющей организации. Совокупность фаз проекта составляет жизненный цикл проекта </w:t>
      </w:r>
      <w:r>
        <w:rPr>
          <w:rFonts w:ascii="Times New Roman CYR" w:hAnsi="Times New Roman CYR" w:cs="Times New Roman CYR"/>
          <w:sz w:val="28"/>
          <w:szCs w:val="28"/>
        </w:rPr>
        <w:t>[19].</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color w:val="000000"/>
          <w:spacing w:val="-6"/>
          <w:sz w:val="28"/>
          <w:szCs w:val="28"/>
        </w:rPr>
        <w:t>Каждая фаза проекта знаменуется получением одного или нескольких результатов. Результат - это материальный, измеримый продукт работы, например, исследование осуществимости, детальный план или рабочий прототип. Результаты, а следовательно, и фазы в общем случае являются частью логической последовательности, разработанной для того, чтобы обеспечить правильное определение продукта проекта</w:t>
      </w:r>
      <w:r>
        <w:rPr>
          <w:rFonts w:ascii="Times New Roman CYR" w:hAnsi="Times New Roman CYR" w:cs="Times New Roman CYR"/>
          <w:color w:val="000000"/>
          <w:spacing w:val="-3"/>
          <w:sz w:val="28"/>
          <w:szCs w:val="28"/>
        </w:rPr>
        <w:t xml:space="preserve"> [5].</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2"/>
          <w:sz w:val="28"/>
          <w:szCs w:val="28"/>
        </w:rPr>
        <w:t xml:space="preserve">Окончание фазы проекта обычно сопровождается анализом как ключевых результатов фазы, так и текущего исполнения проекта, </w:t>
      </w:r>
      <w:r>
        <w:rPr>
          <w:rFonts w:ascii="Times New Roman CYR" w:hAnsi="Times New Roman CYR" w:cs="Times New Roman CYR"/>
          <w:color w:val="000000"/>
          <w:spacing w:val="-5"/>
          <w:sz w:val="28"/>
          <w:szCs w:val="28"/>
        </w:rPr>
        <w:t xml:space="preserve">для того чтобы: а) определить, следует ли переходить к следующей </w:t>
      </w:r>
      <w:r>
        <w:rPr>
          <w:rFonts w:ascii="Times New Roman CYR" w:hAnsi="Times New Roman CYR" w:cs="Times New Roman CYR"/>
          <w:color w:val="000000"/>
          <w:spacing w:val="-2"/>
          <w:sz w:val="28"/>
          <w:szCs w:val="28"/>
        </w:rPr>
        <w:t>фазе проекта; б) выявить и исправить ошибки наиболее экономич</w:t>
      </w:r>
      <w:r>
        <w:rPr>
          <w:rFonts w:ascii="Times New Roman CYR" w:hAnsi="Times New Roman CYR" w:cs="Times New Roman CYR"/>
          <w:color w:val="000000"/>
          <w:spacing w:val="-6"/>
          <w:sz w:val="28"/>
          <w:szCs w:val="28"/>
        </w:rPr>
        <w:t xml:space="preserve">ным способом </w:t>
      </w:r>
      <w:r>
        <w:rPr>
          <w:rFonts w:ascii="Times New Roman CYR" w:hAnsi="Times New Roman CYR" w:cs="Times New Roman CYR"/>
          <w:color w:val="000000"/>
          <w:spacing w:val="-3"/>
          <w:sz w:val="28"/>
          <w:szCs w:val="28"/>
        </w:rPr>
        <w:t>[13].</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1"/>
          <w:sz w:val="28"/>
          <w:szCs w:val="28"/>
        </w:rPr>
        <w:t xml:space="preserve">Проводимые в конце каждой фазы анализы часто называются </w:t>
      </w:r>
      <w:r>
        <w:rPr>
          <w:rFonts w:ascii="Times New Roman CYR" w:hAnsi="Times New Roman CYR" w:cs="Times New Roman CYR"/>
          <w:color w:val="000000"/>
          <w:spacing w:val="-5"/>
          <w:sz w:val="28"/>
          <w:szCs w:val="28"/>
        </w:rPr>
        <w:t>завершением фазы, межфазовыми шлюзами (stagegates) или убий</w:t>
      </w:r>
      <w:r>
        <w:rPr>
          <w:rFonts w:ascii="Times New Roman CYR" w:hAnsi="Times New Roman CYR" w:cs="Times New Roman CYR"/>
          <w:color w:val="000000"/>
          <w:spacing w:val="-3"/>
          <w:sz w:val="28"/>
          <w:szCs w:val="28"/>
        </w:rPr>
        <w:t>ственными точками (killpoints).</w:t>
      </w:r>
    </w:p>
    <w:p w:rsidR="00BC46F9" w:rsidRDefault="00BC46F9" w:rsidP="00BE410E">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4"/>
          <w:sz w:val="28"/>
          <w:szCs w:val="28"/>
        </w:rPr>
        <w:t>Каждая фаза проекта обычно включает набор определенных ре</w:t>
      </w:r>
      <w:r>
        <w:rPr>
          <w:rFonts w:ascii="Times New Roman CYR" w:hAnsi="Times New Roman CYR" w:cs="Times New Roman CYR"/>
          <w:color w:val="000000"/>
          <w:spacing w:val="-5"/>
          <w:sz w:val="28"/>
          <w:szCs w:val="28"/>
        </w:rPr>
        <w:t xml:space="preserve">зультатов, разработанный для того, чтобы установить необходимый </w:t>
      </w:r>
      <w:r>
        <w:rPr>
          <w:rFonts w:ascii="Times New Roman CYR" w:hAnsi="Times New Roman CYR" w:cs="Times New Roman CYR"/>
          <w:color w:val="000000"/>
          <w:spacing w:val="4"/>
          <w:sz w:val="28"/>
          <w:szCs w:val="28"/>
        </w:rPr>
        <w:t xml:space="preserve">уровень управляемости. Большая часть этих результатов связана </w:t>
      </w:r>
      <w:r>
        <w:rPr>
          <w:rFonts w:ascii="Times New Roman CYR" w:hAnsi="Times New Roman CYR" w:cs="Times New Roman CYR"/>
          <w:color w:val="000000"/>
          <w:spacing w:val="-4"/>
          <w:sz w:val="28"/>
          <w:szCs w:val="28"/>
        </w:rPr>
        <w:t>с основным результатом фазы, и потому фазы обычно носят назва</w:t>
      </w:r>
      <w:r>
        <w:rPr>
          <w:rFonts w:ascii="Times New Roman CYR" w:hAnsi="Times New Roman CYR" w:cs="Times New Roman CYR"/>
          <w:color w:val="000000"/>
          <w:spacing w:val="-2"/>
          <w:sz w:val="28"/>
          <w:szCs w:val="28"/>
        </w:rPr>
        <w:t>ния, соответствующие таким результатам: требования, проектиро</w:t>
      </w:r>
      <w:r>
        <w:rPr>
          <w:rFonts w:ascii="Times New Roman CYR" w:hAnsi="Times New Roman CYR" w:cs="Times New Roman CYR"/>
          <w:color w:val="000000"/>
          <w:spacing w:val="-3"/>
          <w:sz w:val="28"/>
          <w:szCs w:val="28"/>
        </w:rPr>
        <w:t>вание, создание (строительство), тестирование, запуск, эксплуата</w:t>
      </w:r>
      <w:r>
        <w:rPr>
          <w:rFonts w:ascii="Times New Roman CYR" w:hAnsi="Times New Roman CYR" w:cs="Times New Roman CYR"/>
          <w:color w:val="000000"/>
          <w:spacing w:val="-6"/>
          <w:sz w:val="28"/>
          <w:szCs w:val="28"/>
        </w:rPr>
        <w:t>ция и др</w:t>
      </w:r>
      <w:r>
        <w:rPr>
          <w:rFonts w:ascii="Times New Roman CYR" w:hAnsi="Times New Roman CYR" w:cs="Times New Roman CYR"/>
          <w:color w:val="000000"/>
          <w:spacing w:val="-2"/>
          <w:sz w:val="28"/>
          <w:szCs w:val="28"/>
        </w:rPr>
        <w:t>.</w:t>
      </w:r>
      <w:r>
        <w:rPr>
          <w:rFonts w:ascii="Times New Roman CYR" w:hAnsi="Times New Roman CYR" w:cs="Times New Roman CYR"/>
          <w:sz w:val="28"/>
          <w:szCs w:val="28"/>
        </w:rPr>
        <w:t>[3].</w:t>
      </w:r>
    </w:p>
    <w:p w:rsidR="00BC46F9" w:rsidRDefault="00BC46F9" w:rsidP="00BE410E">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4"/>
          <w:sz w:val="28"/>
          <w:szCs w:val="28"/>
        </w:rPr>
        <w:lastRenderedPageBreak/>
        <w:t>Иллюстрацию жизненного цикла проекта рассмотрим на приме</w:t>
      </w:r>
      <w:r>
        <w:rPr>
          <w:rFonts w:ascii="Times New Roman CYR" w:hAnsi="Times New Roman CYR" w:cs="Times New Roman CYR"/>
          <w:color w:val="000000"/>
          <w:spacing w:val="-2"/>
          <w:sz w:val="28"/>
          <w:szCs w:val="28"/>
        </w:rPr>
        <w:t>ре строительного проекта как наиболее близкого к специальности [10]:</w:t>
      </w:r>
    </w:p>
    <w:p w:rsidR="00BC46F9" w:rsidRDefault="00BC46F9" w:rsidP="00BE410E">
      <w:pPr>
        <w:widowControl w:val="0"/>
        <w:numPr>
          <w:ilvl w:val="0"/>
          <w:numId w:val="5"/>
        </w:numPr>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2"/>
          <w:sz w:val="28"/>
          <w:szCs w:val="28"/>
        </w:rPr>
        <w:t>осуществимость - разработка проекта, анализ осуществимо</w:t>
      </w:r>
      <w:r>
        <w:rPr>
          <w:rFonts w:ascii="Times New Roman CYR" w:hAnsi="Times New Roman CYR" w:cs="Times New Roman CYR"/>
          <w:color w:val="000000"/>
          <w:spacing w:val="-1"/>
          <w:sz w:val="28"/>
          <w:szCs w:val="28"/>
        </w:rPr>
        <w:t xml:space="preserve">сти проекта, разработка и утверждение стратегии. В конце данной </w:t>
      </w:r>
      <w:r>
        <w:rPr>
          <w:rFonts w:ascii="Times New Roman CYR" w:hAnsi="Times New Roman CYR" w:cs="Times New Roman CYR"/>
          <w:color w:val="000000"/>
          <w:spacing w:val="-2"/>
          <w:sz w:val="28"/>
          <w:szCs w:val="28"/>
        </w:rPr>
        <w:t>фазы принимается решение, выполнять или не выполнять проект;</w:t>
      </w:r>
    </w:p>
    <w:p w:rsidR="00BC46F9" w:rsidRDefault="00BC46F9" w:rsidP="00BE410E">
      <w:pPr>
        <w:widowControl w:val="0"/>
        <w:numPr>
          <w:ilvl w:val="0"/>
          <w:numId w:val="5"/>
        </w:numPr>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5"/>
          <w:sz w:val="28"/>
          <w:szCs w:val="28"/>
        </w:rPr>
        <w:t xml:space="preserve">планирование и проектирование - базовый план, стоимость и </w:t>
      </w:r>
      <w:r>
        <w:rPr>
          <w:rFonts w:ascii="Times New Roman CYR" w:hAnsi="Times New Roman CYR" w:cs="Times New Roman CYR"/>
          <w:color w:val="000000"/>
          <w:spacing w:val="-3"/>
          <w:sz w:val="28"/>
          <w:szCs w:val="28"/>
        </w:rPr>
        <w:t>сроки, условия и сроки контракта, детальное планирование. В кон</w:t>
      </w:r>
      <w:r>
        <w:rPr>
          <w:rFonts w:ascii="Times New Roman CYR" w:hAnsi="Times New Roman CYR" w:cs="Times New Roman CYR"/>
          <w:color w:val="000000"/>
          <w:spacing w:val="-2"/>
          <w:sz w:val="28"/>
          <w:szCs w:val="28"/>
        </w:rPr>
        <w:t>це фазы могут заключаться основные контракты;</w:t>
      </w:r>
    </w:p>
    <w:p w:rsidR="00BC46F9" w:rsidRDefault="00BC46F9" w:rsidP="00BE410E">
      <w:pPr>
        <w:widowControl w:val="0"/>
        <w:numPr>
          <w:ilvl w:val="0"/>
          <w:numId w:val="5"/>
        </w:numPr>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4"/>
          <w:sz w:val="28"/>
          <w:szCs w:val="28"/>
        </w:rPr>
        <w:t>строительство - производство, поставки, строительные рабо</w:t>
      </w:r>
      <w:r>
        <w:rPr>
          <w:rFonts w:ascii="Times New Roman CYR" w:hAnsi="Times New Roman CYR" w:cs="Times New Roman CYR"/>
          <w:color w:val="000000"/>
          <w:spacing w:val="-5"/>
          <w:sz w:val="28"/>
          <w:szCs w:val="28"/>
        </w:rPr>
        <w:t>ты, монтаж, испытания. По окончании фазы объект практически за</w:t>
      </w:r>
      <w:r>
        <w:rPr>
          <w:rFonts w:ascii="Times New Roman CYR" w:hAnsi="Times New Roman CYR" w:cs="Times New Roman CYR"/>
          <w:color w:val="000000"/>
          <w:spacing w:val="-4"/>
          <w:sz w:val="28"/>
          <w:szCs w:val="28"/>
        </w:rPr>
        <w:t>вершен;</w:t>
      </w:r>
    </w:p>
    <w:p w:rsidR="00BC46F9" w:rsidRDefault="00BC46F9" w:rsidP="00BE410E">
      <w:pPr>
        <w:widowControl w:val="0"/>
        <w:numPr>
          <w:ilvl w:val="0"/>
          <w:numId w:val="5"/>
        </w:numPr>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b/>
          <w:bCs/>
          <w:color w:val="000000"/>
          <w:kern w:val="32"/>
          <w:sz w:val="28"/>
          <w:szCs w:val="28"/>
        </w:rPr>
      </w:pPr>
      <w:r>
        <w:rPr>
          <w:rFonts w:ascii="Times New Roman CYR" w:hAnsi="Times New Roman CYR" w:cs="Times New Roman CYR"/>
          <w:color w:val="000000"/>
          <w:spacing w:val="-7"/>
          <w:sz w:val="28"/>
          <w:szCs w:val="28"/>
        </w:rPr>
        <w:t>ввод в эксплуатацию и начало работы - окончательные испыта</w:t>
      </w:r>
      <w:r>
        <w:rPr>
          <w:rFonts w:ascii="Times New Roman CYR" w:hAnsi="Times New Roman CYR" w:cs="Times New Roman CYR"/>
          <w:color w:val="000000"/>
          <w:sz w:val="28"/>
          <w:szCs w:val="28"/>
        </w:rPr>
        <w:t xml:space="preserve">ния и обслуживание. По окончании данной фазы объект завершен </w:t>
      </w:r>
      <w:r>
        <w:rPr>
          <w:rFonts w:ascii="Times New Roman CYR" w:hAnsi="Times New Roman CYR" w:cs="Times New Roman CYR"/>
          <w:color w:val="000000"/>
          <w:spacing w:val="-3"/>
          <w:sz w:val="28"/>
          <w:szCs w:val="28"/>
        </w:rPr>
        <w:t>в полном объеме</w:t>
      </w:r>
      <w:r>
        <w:rPr>
          <w:rFonts w:ascii="Times New Roman CYR" w:hAnsi="Times New Roman CYR" w:cs="Times New Roman CYR"/>
          <w:color w:val="000000"/>
          <w:spacing w:val="-1"/>
          <w:sz w:val="28"/>
          <w:szCs w:val="28"/>
        </w:rPr>
        <w:t xml:space="preserve"> [12].</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Жизненный цикл строительных проектов в упрощенном виде можно представить последовательностью двух фаз:</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Фаза проектирования.</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Фаза выполнения строительно-монтажных работ.</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Последовательность фаз ЖЦП в строительной отрасли определена подходом к его построения. К наиболее типичным подходам построения ЖЦП относят:</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Традиционный подход.</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Скоростной подход (FastTracking).</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Подход последовательной разработки (ProgressiveElaboration).</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Традиционный подход. Традиционный жизненный цикл реализации строительного проекта предусматривает последовательное выполнение фаз [5].</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Выполнение стадии проектирования перед стадией строительства гарантирует наивысший уровень оптимизации проектных решений без </w:t>
      </w:r>
      <w:r>
        <w:rPr>
          <w:rFonts w:ascii="Times New Roman CYR" w:hAnsi="Times New Roman CYR" w:cs="Times New Roman CYR"/>
          <w:sz w:val="28"/>
          <w:szCs w:val="28"/>
        </w:rPr>
        <w:lastRenderedPageBreak/>
        <w:t>необходимости внесения изменений на этапе выполнения работ и получения дополнительных согласований в органах местной власти. Полный пакет проектной документации позволяет выполнить корректную оценку стоимости проекта и рассчитать необходимые ресурсы. Также выполненная сметная документация позволяет построить детальный график выполнения работ с минимизацией рисков, то есть значительно расширить горизонт детального планирования проекта (ГДП) [8]. Корректно подготовленное техническое задание на основе рабочей проектной документации предоставляют возможность провести одновременно закупки по всем позициям проекта, что позволяет заказчику получить дополнительные скидки от поставщиков. Еще одним значительным преимуществом подхода является низкий уровень неопределенности и рисков внутренних факторов проекта, в связи с чем возможно достичь стабильности показателей денежного потока.</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преимущество дает возможность точно определить объем привлеченных инвестиций и повысить экономическую эффективность проекта в целом.</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Недостаток подхода заключается в необходимости высокого уровня надежности исходных данных для проектирования, поскольку изменения в концепции проекта на этапе строительства приведут к полному циклу адаптации всего пакета проектной документации. Другим недостатком является большая длительность выполнения проекта (без учета факторов влияния на проект), поскольку все фазы происходят последовательно. Значительная длительность проекта требует дополнительных затрат на инфляцию, темпы которой постоянно растут в связи с мировым кризисом.</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Скоростной подход (Fast Tracking). С целью сокращения сроков выполнения строительных проектов используют скоростной подход, который предусматривает одновременное выполнение фаз, т.е. фактическое начало </w:t>
      </w:r>
      <w:r>
        <w:rPr>
          <w:rFonts w:ascii="Times New Roman CYR" w:hAnsi="Times New Roman CYR" w:cs="Times New Roman CYR"/>
          <w:sz w:val="28"/>
          <w:szCs w:val="28"/>
        </w:rPr>
        <w:lastRenderedPageBreak/>
        <w:t>строительно-монтажных работ (СМР) наступает до завершения работ по проектированию, планированию и проведению торгов. Согласно скоростного подхода проект может начаться после выполнения спецификаций в объеме 20-30% [1].</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Принимая во внимание, что средняя длительность разработки проектной документации составляет от 25% до 40% от продолжительности выполнения СМР, можно сделать вывод, что на начало проекта по скоростному подходу ГДП составляет от 6,25% до 10% от длительности СМР [2].</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Одновременное выполнение стадий сократит срок реализации проекта, чем достигается снижение затратной части бюджета и рисков влияния факторов внешнего окружения проекта.</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Одновременно расходная часть бюджета на управление проектом растет, т.к. метод требует высокого уровня организации и планирования работ. Без надлежащего планирования при скоростном подходе значительно повышается риск нарушения процессов [4]. При этом существенно снижается возможность выполнять оптимизации проектных решений, поскольку инновационные строительные проекты - это высокотехнологичные сложные системы, в которых изменение одного элемента требует модификации других. При данном подходе это означает внесение изменений не только в чертежи, но и в уже выполненные конструкционные элементы. Подобные изменения оказывают значительное влияние не только на финансовую часть проекта, но также и на сроки выполнения работ [2].</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Потенциально скоростной подход имеет значительное преимущество над традиционным подходом, но при низкой эффективности управления применения этого метода приводит к обратному эффекту. Крупнейшими недостатками скоростного подхода является возможное увеличение объема работ по незавершенным спецификациям, вследствие чего нарушаются сроки </w:t>
      </w:r>
      <w:r>
        <w:rPr>
          <w:rFonts w:ascii="Times New Roman CYR" w:hAnsi="Times New Roman CYR" w:cs="Times New Roman CYR"/>
          <w:sz w:val="28"/>
          <w:szCs w:val="28"/>
        </w:rPr>
        <w:lastRenderedPageBreak/>
        <w:t>планирования и превышаются бюджетные показатели. В процессе совмещенного выполнения фаз проекта и выполнения СМР происходят многочисленные изменения и дополнения в спецификациях [6]. Кроме того, возможен сбой в выпуске проектной документации, что приводит к сокращению ГДП и росту неопределенности в проекте, что в свою очередь вызывает значительные простои в технологии выполнения работ и является основой для возникновения риска конфликтов с подрядными организациями [5].</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Последовательная разработка ЖЦП (Progressive Elaboration). Подход последовательной разработки применяют в случаях, когда ГДП не позволяет осуществлять детальное планирование в срок, который бы позволил выполнять оптимизацию ресурсов проекта. При этом незначительный ГДП вызваны неопределенностью инновационных проектов и влиянием внутренних и внешних изменений в проекте.</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совмещения фаз ЖЦП содержание и спецификации проекта разрабатывают по мере получения более точной исходной информации [9].</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Подход последовательной разработки имеет значительное концептуальное расхождение со скоростным подходом, поскольку совмещение фаз в скоростном подходе вызвано необходимостью сокращения срока выполнения работ при определенном содержании проекта, зато подход последовательной разработки направлен на снижение рисков несоответствия продукта поставки проекта к требованиям рынка в условиях неопределенности содержания проекта.</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преимуществом подхода является снижение стоимости внесения изменений в проект за счет отказа от долгосрочного планирования работ и соответствующего выделения ресурсов. Эта характеристика делает проект более гибким в условиях высокого уровня неопределенности инновационных проектов.</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Недостатками подхода является увеличение срока реализации проекта и </w:t>
      </w:r>
      <w:r>
        <w:rPr>
          <w:rFonts w:ascii="Times New Roman CYR" w:hAnsi="Times New Roman CYR" w:cs="Times New Roman CYR"/>
          <w:sz w:val="28"/>
          <w:szCs w:val="28"/>
        </w:rPr>
        <w:lastRenderedPageBreak/>
        <w:t>необходимость применения нетипичных форм организации управления проектом, поскольку при малом ГДП традиционные подходы реализации строительных проектов неэффективны [10]. Другим серьезным недостатком является неопределенность содержания проекта и, как следствие, его стоимости, что не позволяет применять большинство инструментов планирования проектов.</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Подходы к построению ЖЦП характеризуются различным уровнем неопределенности содержания проекта и соответствующим уровнем рисков внутренних и внешних факторов проекта, что влияет на возможность определения. Традиционный подход организации проектных и строительных работ в большинстве случаев применяют при высоком уровне неопределенности внутренних факторов проекта. Разработка и оптимизация проектной документации до начала этапа выполнения основных работ позволяет уменьшить степень неопределенности и разработать детальный план реализации проекта. При этом разработанный план позволит повторно провести экспертизу проекта на эффективность использования ресурсов и избежать рисков внесения изменений при строительстве, благодаря чему будет достигнуто значительная экономия бюджета [2]. Готовый пакет проектной документации обеспечивает исходные данные для достоверной детальной планировки.</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Скоростной подход строительства эффективно применять при низком уровне неопределенности внутренних факторов влияния. В этих условиях уровень рисков, связанных с разработкой проектной документации и ее своевременного выпуска, незначительный, что позволит параллельно выполнять различные этапы проекта [6]. Скоростной метод также более подходящим в условиях низкого уровня неопределенности внутренних факторов и высокого уровня неопределенности внешних факторов. Это объясняется тем, что при таком характере процесса реализации проекта планы нивелирования рисков будут достаточно эффективными, что даст возможность своевременно </w:t>
      </w:r>
      <w:r>
        <w:rPr>
          <w:rFonts w:ascii="Times New Roman CYR" w:hAnsi="Times New Roman CYR" w:cs="Times New Roman CYR"/>
          <w:sz w:val="28"/>
          <w:szCs w:val="28"/>
        </w:rPr>
        <w:lastRenderedPageBreak/>
        <w:t>обеспечивать процесс строительства с согласованными проектными решениями и предоставит проектной группе большую гибкость в оптимизации проекта в еще не выполненных частях.</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При условии высокого уровня неопределенности как внутренних, так и внешних факторов проекта привлечения финансирования для осуществления долгосрочного плана является высокорискованным. При этом предпочтение отдается подходу последовательной разработки, поскольку в связи с малым ГДП не происходит долгосрочное планирование с привлечением авансового финансирования элементов проекта, которые могут быть изменены. Эта характеристика дает возможность адаптации проекта к изменениям в его содержании и уменьшает убытки проекта через внесение корректировок в план работ проекта.</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color w:val="000000"/>
          <w:spacing w:val="-2"/>
          <w:sz w:val="28"/>
          <w:szCs w:val="28"/>
        </w:rPr>
      </w:pPr>
      <w:r>
        <w:rPr>
          <w:rFonts w:ascii="Times New Roman CYR" w:hAnsi="Times New Roman CYR" w:cs="Times New Roman CYR"/>
          <w:sz w:val="28"/>
          <w:szCs w:val="28"/>
        </w:rPr>
        <w:t xml:space="preserve">Управлению строительным производством присущи общие законы управления экономикой. Однако, строительство как отрасль материального производства во многом отличается от промышленности: здесь действуют свои специфические закономерности. Понимание и учёт этих объективных особенностей </w:t>
      </w:r>
      <w:r>
        <w:rPr>
          <w:rFonts w:ascii="Times New Roman CYR" w:hAnsi="Times New Roman CYR" w:cs="Times New Roman CYR"/>
          <w:color w:val="000000"/>
          <w:spacing w:val="-2"/>
          <w:sz w:val="28"/>
          <w:szCs w:val="28"/>
        </w:rPr>
        <w:t>строительства - необходимое условие правильного выбора форм и методов организации и управления строительным производством.</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color w:val="000000"/>
          <w:spacing w:val="-2"/>
          <w:sz w:val="28"/>
          <w:szCs w:val="28"/>
        </w:rPr>
      </w:pPr>
      <w:r>
        <w:rPr>
          <w:rFonts w:ascii="Times New Roman CYR" w:hAnsi="Times New Roman CYR" w:cs="Times New Roman CYR"/>
          <w:color w:val="000000"/>
          <w:spacing w:val="-2"/>
          <w:sz w:val="28"/>
          <w:szCs w:val="28"/>
        </w:rPr>
        <w:t>ИСД представляет собой многоаспектную систему экономической активности, включающую не только собственно инвестиционный процесс и ведение строительных работ, но и целый ряд сопряженных мероприятий, направленных на достижение итогового эффекта от принятия и реализации инвестиционного решения. ИСД реализуется определенной системой производственных, функциональных и институциональных структур, образующих инвестиционно-строительный сектор экономики.</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color w:val="000000"/>
          <w:spacing w:val="-2"/>
          <w:sz w:val="28"/>
          <w:szCs w:val="28"/>
        </w:rPr>
      </w:pPr>
      <w:r>
        <w:rPr>
          <w:rFonts w:ascii="Times New Roman CYR" w:hAnsi="Times New Roman CYR" w:cs="Times New Roman CYR"/>
          <w:color w:val="000000"/>
          <w:spacing w:val="-2"/>
          <w:sz w:val="28"/>
          <w:szCs w:val="28"/>
        </w:rPr>
        <w:t>Жизненный цикл строительных проектов в упрощенном виде можно представить последовательностью двух фаз:</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color w:val="000000"/>
          <w:spacing w:val="-2"/>
          <w:sz w:val="28"/>
          <w:szCs w:val="28"/>
        </w:rPr>
      </w:pPr>
      <w:r>
        <w:rPr>
          <w:rFonts w:ascii="Times New Roman CYR" w:hAnsi="Times New Roman CYR" w:cs="Times New Roman CYR"/>
          <w:color w:val="000000"/>
          <w:spacing w:val="-2"/>
          <w:sz w:val="28"/>
          <w:szCs w:val="28"/>
        </w:rPr>
        <w:lastRenderedPageBreak/>
        <w:t>Фаза проектирования.</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color w:val="000000"/>
          <w:spacing w:val="-2"/>
          <w:sz w:val="28"/>
          <w:szCs w:val="28"/>
        </w:rPr>
      </w:pPr>
      <w:r>
        <w:rPr>
          <w:rFonts w:ascii="Times New Roman CYR" w:hAnsi="Times New Roman CYR" w:cs="Times New Roman CYR"/>
          <w:color w:val="000000"/>
          <w:spacing w:val="-2"/>
          <w:sz w:val="28"/>
          <w:szCs w:val="28"/>
        </w:rPr>
        <w:t>Фаза выполнения строительно-монтажных работ.</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color w:val="000000"/>
          <w:spacing w:val="-2"/>
          <w:sz w:val="28"/>
          <w:szCs w:val="28"/>
        </w:rPr>
      </w:pPr>
      <w:r>
        <w:rPr>
          <w:rFonts w:ascii="Times New Roman CYR" w:hAnsi="Times New Roman CYR" w:cs="Times New Roman CYR"/>
          <w:color w:val="000000"/>
          <w:spacing w:val="-2"/>
          <w:sz w:val="28"/>
          <w:szCs w:val="28"/>
        </w:rPr>
        <w:t>Последовательность фаз ЖЦП в строительной отрасли определена подходом к его построению. К наиболее типичным подходам построения ЖЦП относят:</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color w:val="000000"/>
          <w:spacing w:val="-2"/>
          <w:sz w:val="28"/>
          <w:szCs w:val="28"/>
        </w:rPr>
      </w:pPr>
      <w:r>
        <w:rPr>
          <w:rFonts w:ascii="Times New Roman CYR" w:hAnsi="Times New Roman CYR" w:cs="Times New Roman CYR"/>
          <w:color w:val="000000"/>
          <w:spacing w:val="-2"/>
          <w:sz w:val="28"/>
          <w:szCs w:val="28"/>
        </w:rPr>
        <w:t>Традиционный подход.</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color w:val="000000"/>
          <w:spacing w:val="-2"/>
          <w:sz w:val="28"/>
          <w:szCs w:val="28"/>
        </w:rPr>
      </w:pPr>
      <w:r>
        <w:rPr>
          <w:rFonts w:ascii="Times New Roman CYR" w:hAnsi="Times New Roman CYR" w:cs="Times New Roman CYR"/>
          <w:color w:val="000000"/>
          <w:spacing w:val="-2"/>
          <w:sz w:val="28"/>
          <w:szCs w:val="28"/>
        </w:rPr>
        <w:t>Скоростной подход (Fast Tracking).</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color w:val="000000"/>
          <w:spacing w:val="-2"/>
          <w:sz w:val="28"/>
          <w:szCs w:val="28"/>
        </w:rPr>
      </w:pPr>
      <w:r>
        <w:rPr>
          <w:rFonts w:ascii="Times New Roman CYR" w:hAnsi="Times New Roman CYR" w:cs="Times New Roman CYR"/>
          <w:color w:val="000000"/>
          <w:spacing w:val="-2"/>
          <w:sz w:val="28"/>
          <w:szCs w:val="28"/>
        </w:rPr>
        <w:t>Подход последовательной разработки (Progressive Elaboration).</w:t>
      </w:r>
    </w:p>
    <w:p w:rsidR="00BC46F9" w:rsidRDefault="00BC46F9">
      <w:pPr>
        <w:widowControl w:val="0"/>
        <w:shd w:val="clear" w:color="auto" w:fill="FFFFFF"/>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Подходы к построению ЖЦП характеризуются различным уровнем неопределенности содержания проекта и соответствующим уровнем рисков внутренних и внешних факторов проекта, что влияет на возможность определения. Традиционный подход организации проектных и строительных работ в большинстве случаев применяют при высоком уровне неопределенности внутренних факторов проекта. Разработка и оптимизация проектной документации до начала этапа выполнения основных работ позволяет уменьшить степень неопределенности и разработать детальный план реализации проекта. При этом разработанный план позволит повторно провести экспертизу проекта на эффективность использования ресурсов и избежать рисков внесения изменений при строительстве, благодаря чему будет достигнуто значительная экономия бюджета. Готовый пакет проектной документации обеспечивает исходные данные для достоверной детальной планировки.</w:t>
      </w:r>
    </w:p>
    <w:p w:rsidR="00BC46F9" w:rsidRDefault="00BC46F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 Анализ эффективности управления строительными проектами компании ооо«новоуральская промышленная компания»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Краткая характеристика ООО «Новоуральская промышленная компания»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исследуемого объекта выступает ООО «Новоуральская промышленная компания». Дадим краткую характеристику деятельности этой компании.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«Новоуральская промышленная компания»- авторитетная строительная организация, имеющая солидный опыт работы на самых сложных объектах нефтяной промышленности.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«Новоуральская промышленная компания»: 620000 Екатеринбург, ул. Селькоровская 30А, Телефоны/факсы: (343) 256-49-82, 256-49-86, 256-49-83</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Техническая база, накопленный опыт и интеллектуальный ресурс позволяют компании решить практически любую задачу по строительству сетей нефтегазоснабжения в сложных инженерных условиях во всех регионах России.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Начав свой путь в 1994 году, ООО «Новоуральская промышленная компания» осуществляла по заказу ООО «ЛУКОЙЛ - Западная Сибирь» монтаж, наладку и обслуживание нефтегазовых объектов в Когалыме, Урае, Лангепасе, Покачах, занималась строительством важных объектов на Тевлинском месторождении нефти. Все эти годы ООО «Новоуральская промышленная компания» неуклонно наращивала объемы и сумела стать постоянным партнером таких структур, как «Транснефть», «ЛУКОЙЛ», «ТНК-ВP», «Роснефть», зарекомендовав себя надежным подрядчиком.</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в обширный перечень услуг, которые оказывает ООО «Новоуральская промышленная компания», входит несколько десятков </w:t>
      </w:r>
      <w:r>
        <w:rPr>
          <w:rFonts w:ascii="Times New Roman CYR" w:hAnsi="Times New Roman CYR" w:cs="Times New Roman CYR"/>
          <w:sz w:val="28"/>
          <w:szCs w:val="28"/>
        </w:rPr>
        <w:lastRenderedPageBreak/>
        <w:t>видов работ.</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Сфера присутствия ООО «Новоуральская промышленная компания» распространяется на все регионы России. В числе постоянных заказчиков ООО «Новоуральская промышленная компания» - крупные компании нефтегазовой отрасли: ОАО «АК «Транснефть», ОАО «ЛУКОЙЛ», ОАО «ТНК-BP» и другие.</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числе приоритетных направлений - строительство инженерных сооружений нефтегазового комплекса, изучение и оперативное внедрение новых технологий в этой отрасли.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направление деятельности ООО «Новоуральская промышленная компания» - возведение, капитальный ремонт и техническое перевооружение резервуарных парков по заказу дочерних предприятий АК «Транснефть», с которой ООО «Новоуральская промышленная компания» связывает не один год крепких сотруднических взаимоотношений. Объемы этих работ составляют от шести до десяти резервуаров в год.</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всего, ООО «Новоуральская промышленная компания» обеспечивает поставки материалов на нефтегазовые объекты и осуществляет комплектацию технологического оборудования, предоставляя при этом заказчикам полный комплекс услуг: анализ рынка, проведение тендеров, контрактации, осуществление транспортной логистики и экспедайтинга.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Безупречное качество выполняемых компанией работ базируется на четырех факторах. Прежде всего, это высокий профессионализм кадров - подбор специалистов проводится индивидуально на конкурсной основе на каждую должность. Затем - собственная лаборатория неразрушающего контроля и мощная база механизации, оснащенная новейшей отечественной и импортной техникой. Парк, состоящий более чем из 100 единиц различной техники, постоянно пополняется. И наконец, строгое следование этическим нормам делового партнерства: обязательность, порядочность, готовность во избежание </w:t>
      </w:r>
      <w:r>
        <w:rPr>
          <w:rFonts w:ascii="Times New Roman CYR" w:hAnsi="Times New Roman CYR" w:cs="Times New Roman CYR"/>
          <w:sz w:val="28"/>
          <w:szCs w:val="28"/>
        </w:rPr>
        <w:lastRenderedPageBreak/>
        <w:t>конфликтных ситуаций пойти на разумный компромисс.</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подход к работе является гарантом успешной реализации проектов любого уровня сложности.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Многолетний опыт коллектива предприятия, наличие нескольких лабораторий вкупе с непрерывным отслеживанием динамики развития мирового рынка в области строительных услуг, технологий, оборудования и материалов позволяют ООО «Новоуральская промышленная компания» соответствовать строгим требованиям, предъявляемым заказчиками к качеству выполняемых работ.</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годы работы вокруг ООО «Новоуральская промышленная компания» сформировалась устойчивая система связей с постоянными заказчиками, партнерами, поставщиками, что позволяет говорить о компании как об органично интегрированной в отрасль структуре.</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области менеджмента качества ООО «Новоуральская промышленная компания» опирается на два незыблемых принципа.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клиенты - это источник существования и движущая сила развития предприятия, а во-вторых, каждый работник ответствен за качество своего труда в рамках возложенных на него полномочий при непременном лидерстве руководителей.</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прошла сертификацию в Международной системе стандартизации ISO 9001-2008, имеет все необходимые лицензии и свидетельства для выполнения полного комплекса работ на объекте любой сложности.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Руководствуясь требованиями природоохранного законодательства, ООО «Новоуральская промышленная компания» обеспечивает на всех стадиях работ экологическую и промышленную безопасность объектов.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Применяются и регулярно актуализируются необходимые внутренние </w:t>
      </w:r>
      <w:r>
        <w:rPr>
          <w:rFonts w:ascii="Times New Roman CYR" w:hAnsi="Times New Roman CYR" w:cs="Times New Roman CYR"/>
          <w:sz w:val="28"/>
          <w:szCs w:val="28"/>
        </w:rPr>
        <w:lastRenderedPageBreak/>
        <w:t>нормативные документы, в том числе «Экологические цели ООО «НПК». Так, понимая значимость сохранения окружающей среды и рационального использования природных ресурсов, предприятие разработало и внедряет в использование эффективные природосберегающие технологии при строительстве объектов, направленные на повышение эффективности организации строительного процесса и уменьшение или полное исключение негативного воздействия на окружающую среду.</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«Новоуральская промышленная компания» своевременно идентифицирует экологические требования законодательства, проектной документации, заказчика, других заинтересованных сторон; проводит анализ условий и методов их применения в своей деятельности; оперативно оповещает собственный персонал и субподрядные организации об актуальных изменениях в сфере охраны природной среды.</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Планомерно осуществляя деятельность, на которую, в свою очередь, оказывает влияние рынок строительно-монтажных работ, компания провозглашает дальнейшее развитие, направленное на поддержание такого уровня качества строительно-монтажных работ, которое позволит обеспечить удовлетворенность потребителей, работников предприятия и общества.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цель политики ООО «Новоуральская промышленная компания» - постоянное повышение эффективности рабочего процесса и благосостояния сотрудников путем оказания конкурентоспособных по качеству и цене услуг, удовлетворяющих требования и ожидания заказчиков.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компании способны выполнять заказы в сжатые сроки и стараются предложить своим партнерам наилучшее качество работы, чтобы и в следующий раз они остановили свой выбор на ООО «Новоуральская промышленная компания».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компании до 2009 года была линейной. В данном случае </w:t>
      </w:r>
      <w:r>
        <w:rPr>
          <w:rFonts w:ascii="Times New Roman CYR" w:hAnsi="Times New Roman CYR" w:cs="Times New Roman CYR"/>
          <w:sz w:val="28"/>
          <w:szCs w:val="28"/>
        </w:rPr>
        <w:lastRenderedPageBreak/>
        <w:t>действует принцип единоначалия, суть которого состоит в том, что подчиненные выполняют распоряжения только одного руководителя. Организационная структура представлена на рисунке 5:</w:t>
      </w:r>
    </w:p>
    <w:p w:rsidR="00BC46F9" w:rsidRDefault="00BC46F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BC46F9" w:rsidRDefault="00256C6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lastRenderedPageBreak/>
        <w:drawing>
          <wp:inline distT="0" distB="0" distL="0" distR="0">
            <wp:extent cx="4714875" cy="2752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4875" cy="2752725"/>
                    </a:xfrm>
                    <a:prstGeom prst="rect">
                      <a:avLst/>
                    </a:prstGeom>
                    <a:noFill/>
                    <a:ln>
                      <a:noFill/>
                    </a:ln>
                  </pic:spPr>
                </pic:pic>
              </a:graphicData>
            </a:graphic>
          </wp:inline>
        </w:drawing>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5. Организационная структура ООО«Новоуральская промышленная компания» до 2009 г.</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осуществляет общее руководство организацией, контролирует работу подразделений, заключает и расторгает договора.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директор осуществляет финансовое планирование на предприятии, анализирует финансовое состояние предприятия, организует работу по привлечению дополнительных внешних финансовых ресурсов, осуществляет финансовый контроль на самом предприятии, следит за законностью использования финансовых ресурсов. В непосредственном подчинении финансового директора находится бухгалтерия.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ХОЗО обеспечивает чистоту в помещениях и на территории, занимается вывозом мусора, обеспечивает уборку снега в зимние периоды и покос травы летом.</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инженер заведует всеми техническими службами, осуществляет контроль за жизнедеятельностью ООО «Новоуральская промышленная компания» (электрооборудованием, техническим оборудованием). В непосредственном подчинении главного инженера находится энерго - </w:t>
      </w:r>
      <w:r>
        <w:rPr>
          <w:rFonts w:ascii="Times New Roman CYR" w:hAnsi="Times New Roman CYR" w:cs="Times New Roman CYR"/>
          <w:sz w:val="28"/>
          <w:szCs w:val="28"/>
        </w:rPr>
        <w:lastRenderedPageBreak/>
        <w:t>механический цех, основной деятельностью которого являются сварочные, слесарные, монтажные работы, поддержание состояния технического оборудования и отдел главного энергетика, основной деятельностью которого является поддержание функционирования электрических сетей организации.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по строительству, возглавляющий все строительные участки осуществляет полное руководство всеми стадиями строительного процесса, обеспечивает мероприятия всей необходимой материально-технической базой, составляет плановые расчеты, предоставляет Генеральному директору все плановые объемы по необходимым расходам и предполагаемым доходам, назначает исполнителей строительных объектов, принимает все акты выполненных работ, составляет отчетность. Директор по строительству осуществляет все мероприятия только после согласования с высшим руководством.</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Канцелярия регистрирует входящую и исходящую корреспонденцию, занимается передачей корреспонденции на исполнение сотрудникам, осуществляет отправку и прием корреспонденции.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Технический отдел занимается поддержанием технического состояния организационной техники (сканеры, компьютеры, ксероксы и т.д.)</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кадров занимается организацией работы пообеспечению укомплектованности кадрами. Обеспечение организации приема, переводов, предоставления отпусков, увольнений работников; руководство при составлении трудовых договоров сработниками.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2009 года структура компании стала линейно-функциональной с элементами проектной - организационная структура представлена в Приложении 4. Генеральным директором было принято решение о преобразовании строительного отдела и всех его звеньев в единый департамент по строительству. Данный отдел на постоянной основе включает в себя руководителя </w:t>
      </w:r>
      <w:r>
        <w:rPr>
          <w:rFonts w:ascii="Times New Roman CYR" w:hAnsi="Times New Roman CYR" w:cs="Times New Roman CYR"/>
          <w:sz w:val="28"/>
          <w:szCs w:val="28"/>
        </w:rPr>
        <w:lastRenderedPageBreak/>
        <w:t>Департамента, старшего инженера по строительству, юриста, и строительный участок во главе со старшим прорабом. Руководителем Департамента осуществляется контроль за реализацией строительных мероприятий, также он назначает подчиненных для процесса возведения объектов, и принимает решение о выборе Компании для составления проектно-сметных работ (так как в штате не предусмотрен отдел по проектированию). Юридическими сторонами вопросов строительства, заключением договоров, возникающих законодательных споров занимается юрист, также при необходимости он выступает представителем в судебных процессах от лица Компании в делах, касаемых исковых требований по строительным вопросам, а в обязанности старшего прораба входит обеспечение строительного процесса необходимой материально-технической базой, исследование особенностей застраиваемой местности, планирование работы бригад, а также осуществление непосредственного руководства строительными работами. Именно в рамках Департамента производится рассмотрение проектных инициатив.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сравнительный анализ с другими организациями отрасли, исходя из видов деятельности конкурентов и объемов выручки.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Сравнительный анализ организаций строительной отрасли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9"/>
        <w:gridCol w:w="3351"/>
        <w:gridCol w:w="3261"/>
        <w:gridCol w:w="1701"/>
      </w:tblGrid>
      <w:tr w:rsidR="00BC46F9">
        <w:trPr>
          <w:jc w:val="center"/>
        </w:trPr>
        <w:tc>
          <w:tcPr>
            <w:tcW w:w="488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фирмы</w:t>
            </w:r>
          </w:p>
        </w:tc>
        <w:tc>
          <w:tcPr>
            <w:tcW w:w="33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Основная деятельность предприятия</w:t>
            </w:r>
          </w:p>
        </w:tc>
        <w:tc>
          <w:tcPr>
            <w:tcW w:w="326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выручки, за 2016, млн.руб.</w:t>
            </w:r>
          </w:p>
        </w:tc>
        <w:tc>
          <w:tcPr>
            <w:tcW w:w="170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BC46F9">
        <w:trPr>
          <w:jc w:val="center"/>
        </w:trPr>
        <w:tc>
          <w:tcPr>
            <w:tcW w:w="488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СМУ №4</w:t>
            </w:r>
          </w:p>
        </w:tc>
        <w:tc>
          <w:tcPr>
            <w:tcW w:w="33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общестроительные работы; - ремонтно-строительные работы; - производство и реализация строительных материалов; - проектно-сметные работы; - переработка и реализация отходов производства; - оказание транспортных услуг;</w:t>
            </w:r>
          </w:p>
        </w:tc>
        <w:tc>
          <w:tcPr>
            <w:tcW w:w="326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404,9 </w:t>
            </w:r>
          </w:p>
        </w:tc>
        <w:tc>
          <w:tcPr>
            <w:tcW w:w="170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24,7</w:t>
            </w:r>
          </w:p>
        </w:tc>
      </w:tr>
      <w:tr w:rsidR="00BC46F9">
        <w:trPr>
          <w:jc w:val="center"/>
        </w:trPr>
        <w:tc>
          <w:tcPr>
            <w:tcW w:w="488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«Новоуральская промышленная компания»</w:t>
            </w:r>
          </w:p>
        </w:tc>
        <w:tc>
          <w:tcPr>
            <w:tcW w:w="33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общестроительные работы; - ремонтно-строительные работы; - проектно-сметные работы; - монтаж прочего инженерного оборудования.</w:t>
            </w:r>
          </w:p>
        </w:tc>
        <w:tc>
          <w:tcPr>
            <w:tcW w:w="326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436,9</w:t>
            </w:r>
          </w:p>
        </w:tc>
        <w:tc>
          <w:tcPr>
            <w:tcW w:w="170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26,7</w:t>
            </w:r>
          </w:p>
        </w:tc>
      </w:tr>
      <w:tr w:rsidR="00BC46F9">
        <w:trPr>
          <w:jc w:val="center"/>
        </w:trPr>
        <w:tc>
          <w:tcPr>
            <w:tcW w:w="488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«ГостСтрой»</w:t>
            </w:r>
          </w:p>
        </w:tc>
        <w:tc>
          <w:tcPr>
            <w:tcW w:w="33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строительно-монтажные работы; - ремонтно-строительные работы; - </w:t>
            </w:r>
            <w:r>
              <w:rPr>
                <w:rFonts w:ascii="Times New Roman CYR" w:hAnsi="Times New Roman CYR" w:cs="Times New Roman CYR"/>
                <w:sz w:val="20"/>
                <w:szCs w:val="20"/>
              </w:rPr>
              <w:lastRenderedPageBreak/>
              <w:t>капитальный ремонт;</w:t>
            </w:r>
          </w:p>
        </w:tc>
        <w:tc>
          <w:tcPr>
            <w:tcW w:w="326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478,6</w:t>
            </w:r>
          </w:p>
        </w:tc>
        <w:tc>
          <w:tcPr>
            <w:tcW w:w="170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w:t>
            </w:r>
          </w:p>
        </w:tc>
      </w:tr>
      <w:tr w:rsidR="00BC46F9">
        <w:trPr>
          <w:jc w:val="center"/>
        </w:trPr>
        <w:tc>
          <w:tcPr>
            <w:tcW w:w="488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ЗАО «Стройинвестрегион»</w:t>
            </w:r>
          </w:p>
        </w:tc>
        <w:tc>
          <w:tcPr>
            <w:tcW w:w="33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производство всего цикла строительно-монтажных и ремонтно-строительных работ; - капитальное строительство, в т.ч. жилищное, гражданское и промышленное строительство.</w:t>
            </w:r>
          </w:p>
        </w:tc>
        <w:tc>
          <w:tcPr>
            <w:tcW w:w="326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316,8</w:t>
            </w:r>
          </w:p>
        </w:tc>
        <w:tc>
          <w:tcPr>
            <w:tcW w:w="170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19,4</w:t>
            </w:r>
          </w:p>
        </w:tc>
      </w:tr>
      <w:tr w:rsidR="00BC46F9">
        <w:trPr>
          <w:jc w:val="center"/>
        </w:trPr>
        <w:tc>
          <w:tcPr>
            <w:tcW w:w="488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33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1637,2</w:t>
            </w:r>
          </w:p>
        </w:tc>
        <w:tc>
          <w:tcPr>
            <w:tcW w:w="170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таблицы 1, следует сделать вывод, что среди компаний схожих по видам оказываемых услуг в отрасли, удельный вес ООО «Новоуральская промышленная компания» по объемам выручки за 2016 год составляет 26,7%, что свидетельствует о высоком уровне выручки в отношении представленных компаний.</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 </w:t>
      </w:r>
      <w:r>
        <w:rPr>
          <w:rFonts w:ascii="Times New Roman CYR" w:hAnsi="Times New Roman CYR" w:cs="Times New Roman CYR"/>
          <w:color w:val="000000"/>
          <w:sz w:val="28"/>
          <w:szCs w:val="28"/>
        </w:rPr>
        <w:t>Анализ имущества ООО «Новоуральская промышленная компания» за 2014-2015 гг.</w:t>
      </w:r>
    </w:p>
    <w:p w:rsidR="00BC46F9" w:rsidRDefault="00256C6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5410200" cy="381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3810000"/>
                    </a:xfrm>
                    <a:prstGeom prst="rect">
                      <a:avLst/>
                    </a:prstGeom>
                    <a:noFill/>
                    <a:ln>
                      <a:noFill/>
                    </a:ln>
                  </pic:spPr>
                </pic:pic>
              </a:graphicData>
            </a:graphic>
          </wp:inline>
        </w:drawing>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отчетном 2016 году сравнительно с базовым 2013 г. количество имущества возросло на 941,8 млн. руб., или на 18,8%. В нем за счет увеличения основных средств увеличилось количество необратимых активов на 432,5 млн. руб. (22,8%). Оборотные активы увеличились в целом на 509,4 млн.руб., или на 16,3%. С них фонды обращения возросли на 459,5 млн. руб. (29,2%); Готовая продукция и услуги - на 43 млн. руб. Текущая дебиторская задолженность - на 447,3 млн. руб. Среди негативных тенденций следует отметить уменьшение количество денежных средств и текущих финансовых инвестиций на 38,3 млн. руб., то есть на 4,4% в сравнении с прошлым годом, что говорит о недостаточном внимании к предприятию со стороны инвесторов и неудачную финансово - хозяйственную деятельность предприятия, на что руководству нужно обратить внимание. Расходы будущих периодов на протяжении этих двух лет не менялись.</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Финансовый анализ имущества исследуемого предприятия проведем в табл. 2. В отчетном году сравнительно с базовым количество имущества возросло на 745,5 млн. руб., или на 7,2%. В нем за счет увеличения основных средств увеличилось количество необратимых активов на 167,4 млн. руб., (7,2%). Оборотные активы увеличились в целом на 577,5 млн.руб., или на 15,9%. С них фонды обращения возросли на 190,1 млн. руб., (9,4%) а готовая продукция и товары - на 283,4 млн. руб. денежные средства и текущие финансовые инвестиций - на 605,8 млн. руб., или на 73,6%. Уменьшилась текущая дебиторская задолженность (на 179,5 млн. руб.), то есть на 18,2% в сравнении с прошлым годом. Расходы будущих периодов на протяжении этих двух лет не менялись. Стоимость капитала (валюта пассива баланса) увеличилась на 941,8 млн. руб., или на 18,8%. Это увеличение происходило по счет увеличения собственного капитала (на 2154,5 млн. руб., или на 60,9%). К негативным тенденциям нужно отнести увеличение обязательств предприятия на 39,6 млн. руб. за счет увеличения текущих обязательств на 22,8 млн. руб., (на 13%) и за </w:t>
      </w:r>
      <w:r>
        <w:rPr>
          <w:rFonts w:ascii="Times New Roman CYR" w:hAnsi="Times New Roman CYR" w:cs="Times New Roman CYR"/>
          <w:color w:val="000000"/>
          <w:sz w:val="28"/>
          <w:szCs w:val="28"/>
        </w:rPr>
        <w:lastRenderedPageBreak/>
        <w:t>счет увеличения кредиторской задолженности на 16,5 млн. руб., (на 10,6%).</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 Анализ имущества ООО «Новоуральская промышленная компания» за 2014-2015 гг.</w:t>
      </w:r>
    </w:p>
    <w:tbl>
      <w:tblPr>
        <w:tblW w:w="0" w:type="auto"/>
        <w:jc w:val="center"/>
        <w:tblLayout w:type="fixed"/>
        <w:tblCellMar>
          <w:left w:w="0" w:type="dxa"/>
          <w:right w:w="0" w:type="dxa"/>
        </w:tblCellMar>
        <w:tblLook w:val="0000" w:firstRow="0" w:lastRow="0" w:firstColumn="0" w:lastColumn="0" w:noHBand="0" w:noVBand="0"/>
      </w:tblPr>
      <w:tblGrid>
        <w:gridCol w:w="5448"/>
        <w:gridCol w:w="850"/>
        <w:gridCol w:w="709"/>
        <w:gridCol w:w="992"/>
        <w:gridCol w:w="851"/>
        <w:gridCol w:w="850"/>
        <w:gridCol w:w="851"/>
        <w:gridCol w:w="1275"/>
      </w:tblGrid>
      <w:tr w:rsidR="00BC46F9">
        <w:trPr>
          <w:jc w:val="center"/>
        </w:trPr>
        <w:tc>
          <w:tcPr>
            <w:tcW w:w="54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w:t>
            </w:r>
          </w:p>
        </w:tc>
        <w:tc>
          <w:tcPr>
            <w:tcW w:w="1559"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84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976" w:type="dxa"/>
            <w:gridSpan w:val="3"/>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 (+;-)</w:t>
            </w:r>
          </w:p>
        </w:tc>
      </w:tr>
      <w:tr w:rsidR="00BC46F9">
        <w:trPr>
          <w:jc w:val="center"/>
        </w:trPr>
        <w:tc>
          <w:tcPr>
            <w:tcW w:w="54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млн.руб.</w:t>
            </w:r>
          </w:p>
        </w:tc>
        <w:tc>
          <w:tcPr>
            <w:tcW w:w="70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итогу</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млн.руб.</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итогу</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млн.руб</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Уд.вес, пунктов</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2013 г.</w:t>
            </w:r>
          </w:p>
        </w:tc>
      </w:tr>
      <w:tr w:rsidR="00BC46F9">
        <w:trPr>
          <w:jc w:val="center"/>
        </w:trPr>
        <w:tc>
          <w:tcPr>
            <w:tcW w:w="54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6=4-2</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7=5-3</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8=6/2*100</w:t>
            </w:r>
          </w:p>
        </w:tc>
      </w:tr>
      <w:tr w:rsidR="00BC46F9">
        <w:trPr>
          <w:jc w:val="center"/>
        </w:trPr>
        <w:tc>
          <w:tcPr>
            <w:tcW w:w="54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Имущества всего</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5960,5</w:t>
            </w:r>
          </w:p>
        </w:tc>
        <w:tc>
          <w:tcPr>
            <w:tcW w:w="70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6706,0</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745,5</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w:t>
            </w:r>
          </w:p>
        </w:tc>
      </w:tr>
      <w:tr w:rsidR="00BC46F9">
        <w:trPr>
          <w:jc w:val="center"/>
        </w:trPr>
        <w:tc>
          <w:tcPr>
            <w:tcW w:w="54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r>
      <w:tr w:rsidR="00BC46F9">
        <w:trPr>
          <w:jc w:val="center"/>
        </w:trPr>
        <w:tc>
          <w:tcPr>
            <w:tcW w:w="54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Необратимые активы</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2328,3</w:t>
            </w:r>
          </w:p>
        </w:tc>
        <w:tc>
          <w:tcPr>
            <w:tcW w:w="70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39,1</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2495,7</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37,2</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167,4</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r>
      <w:tr w:rsidR="00BC46F9">
        <w:trPr>
          <w:jc w:val="center"/>
        </w:trPr>
        <w:tc>
          <w:tcPr>
            <w:tcW w:w="54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Основные средства</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2328,3</w:t>
            </w:r>
          </w:p>
        </w:tc>
        <w:tc>
          <w:tcPr>
            <w:tcW w:w="70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39,1</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2495,7</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37,2</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167,4</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r>
      <w:tr w:rsidR="00BC46F9">
        <w:trPr>
          <w:jc w:val="center"/>
        </w:trPr>
        <w:tc>
          <w:tcPr>
            <w:tcW w:w="54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Оборотные активы</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3628,9</w:t>
            </w:r>
          </w:p>
        </w:tc>
        <w:tc>
          <w:tcPr>
            <w:tcW w:w="70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60,9</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4206,4</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62,7</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577,5</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15,9</w:t>
            </w:r>
          </w:p>
        </w:tc>
      </w:tr>
      <w:tr w:rsidR="00BC46F9">
        <w:trPr>
          <w:jc w:val="center"/>
        </w:trPr>
        <w:tc>
          <w:tcPr>
            <w:tcW w:w="54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Фонды обращения</w:t>
            </w:r>
          </w:p>
        </w:tc>
        <w:tc>
          <w:tcPr>
            <w:tcW w:w="850"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2031,5</w:t>
            </w:r>
          </w:p>
        </w:tc>
        <w:tc>
          <w:tcPr>
            <w:tcW w:w="709"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w:t>
            </w:r>
          </w:p>
        </w:tc>
        <w:tc>
          <w:tcPr>
            <w:tcW w:w="992"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2221,6</w:t>
            </w:r>
          </w:p>
        </w:tc>
        <w:tc>
          <w:tcPr>
            <w:tcW w:w="851"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33,1</w:t>
            </w:r>
          </w:p>
        </w:tc>
        <w:tc>
          <w:tcPr>
            <w:tcW w:w="850"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190,1</w:t>
            </w:r>
          </w:p>
        </w:tc>
        <w:tc>
          <w:tcPr>
            <w:tcW w:w="851"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275"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w:t>
            </w:r>
          </w:p>
        </w:tc>
      </w:tr>
      <w:tr w:rsidR="00BC46F9">
        <w:trPr>
          <w:jc w:val="center"/>
        </w:trPr>
        <w:tc>
          <w:tcPr>
            <w:tcW w:w="5448"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 Готовая продукция и услуги</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222,6</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c>
          <w:tcPr>
            <w:tcW w:w="99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506,0</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283,4</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c>
          <w:tcPr>
            <w:tcW w:w="1275"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127,3</w:t>
            </w:r>
          </w:p>
        </w:tc>
      </w:tr>
      <w:tr w:rsidR="00BC46F9">
        <w:trPr>
          <w:jc w:val="center"/>
        </w:trPr>
        <w:tc>
          <w:tcPr>
            <w:tcW w:w="5448"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Текущая дебиторская задолженность</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985,6</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w:t>
            </w:r>
          </w:p>
        </w:tc>
        <w:tc>
          <w:tcPr>
            <w:tcW w:w="99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806,1</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-179,5</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1275"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w:t>
            </w:r>
          </w:p>
        </w:tc>
      </w:tr>
      <w:tr w:rsidR="00BC46F9">
        <w:trPr>
          <w:jc w:val="center"/>
        </w:trPr>
        <w:tc>
          <w:tcPr>
            <w:tcW w:w="5448"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2.1.3. Денежные средства и текущие финансовые инвестиции</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823,0</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w:t>
            </w:r>
          </w:p>
        </w:tc>
        <w:tc>
          <w:tcPr>
            <w:tcW w:w="99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1428,8</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21,3</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605,8</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w:t>
            </w:r>
          </w:p>
        </w:tc>
        <w:tc>
          <w:tcPr>
            <w:tcW w:w="1275"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73,6</w:t>
            </w:r>
          </w:p>
        </w:tc>
      </w:tr>
      <w:tr w:rsidR="00BC46F9">
        <w:trPr>
          <w:jc w:val="center"/>
        </w:trPr>
        <w:tc>
          <w:tcPr>
            <w:tcW w:w="5448"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Расходы будущих периодов</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99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275"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4. Анализ капитала ООО «Новоуральская промышленная компания» за 2014-2015 гг.</w:t>
      </w:r>
    </w:p>
    <w:tbl>
      <w:tblPr>
        <w:tblW w:w="0" w:type="auto"/>
        <w:tblInd w:w="292" w:type="dxa"/>
        <w:tblLayout w:type="fixed"/>
        <w:tblCellMar>
          <w:left w:w="0" w:type="dxa"/>
          <w:right w:w="0" w:type="dxa"/>
        </w:tblCellMar>
        <w:tblLook w:val="0000" w:firstRow="0" w:lastRow="0" w:firstColumn="0" w:lastColumn="0" w:noHBand="0" w:noVBand="0"/>
      </w:tblPr>
      <w:tblGrid>
        <w:gridCol w:w="2693"/>
        <w:gridCol w:w="850"/>
        <w:gridCol w:w="851"/>
        <w:gridCol w:w="850"/>
        <w:gridCol w:w="709"/>
        <w:gridCol w:w="851"/>
        <w:gridCol w:w="850"/>
        <w:gridCol w:w="851"/>
      </w:tblGrid>
      <w:tr w:rsidR="00BC46F9">
        <w:tc>
          <w:tcPr>
            <w:tcW w:w="2693" w:type="dxa"/>
            <w:tcBorders>
              <w:top w:val="single" w:sz="6" w:space="0" w:color="auto"/>
              <w:left w:val="single" w:sz="6" w:space="0" w:color="auto"/>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701" w:type="dxa"/>
            <w:gridSpan w:val="2"/>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559" w:type="dxa"/>
            <w:gridSpan w:val="2"/>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552" w:type="dxa"/>
            <w:gridSpan w:val="3"/>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 (+;-)</w:t>
            </w:r>
          </w:p>
        </w:tc>
      </w:tr>
      <w:tr w:rsidR="00BC46F9">
        <w:tc>
          <w:tcPr>
            <w:tcW w:w="2693"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nil"/>
              <w:left w:val="single" w:sz="6" w:space="0" w:color="auto"/>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млн.руб.</w:t>
            </w:r>
          </w:p>
        </w:tc>
        <w:tc>
          <w:tcPr>
            <w:tcW w:w="851" w:type="dxa"/>
            <w:tcBorders>
              <w:top w:val="nil"/>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итогу</w:t>
            </w:r>
          </w:p>
        </w:tc>
        <w:tc>
          <w:tcPr>
            <w:tcW w:w="850" w:type="dxa"/>
            <w:tcBorders>
              <w:top w:val="nil"/>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млн.руб.</w:t>
            </w:r>
          </w:p>
        </w:tc>
        <w:tc>
          <w:tcPr>
            <w:tcW w:w="709" w:type="dxa"/>
            <w:tcBorders>
              <w:top w:val="nil"/>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итогу</w:t>
            </w:r>
          </w:p>
        </w:tc>
        <w:tc>
          <w:tcPr>
            <w:tcW w:w="851" w:type="dxa"/>
            <w:tcBorders>
              <w:top w:val="nil"/>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млн.руб</w:t>
            </w:r>
          </w:p>
        </w:tc>
        <w:tc>
          <w:tcPr>
            <w:tcW w:w="850" w:type="dxa"/>
            <w:tcBorders>
              <w:top w:val="nil"/>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Уд.вес, пунктов</w:t>
            </w:r>
          </w:p>
        </w:tc>
        <w:tc>
          <w:tcPr>
            <w:tcW w:w="851" w:type="dxa"/>
            <w:tcBorders>
              <w:top w:val="nil"/>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2013 г.</w:t>
            </w:r>
          </w:p>
        </w:tc>
      </w:tr>
      <w:tr w:rsidR="00BC46F9">
        <w:tc>
          <w:tcPr>
            <w:tcW w:w="2693"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Капитала всего</w:t>
            </w:r>
          </w:p>
        </w:tc>
        <w:tc>
          <w:tcPr>
            <w:tcW w:w="850"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5018,7</w:t>
            </w:r>
          </w:p>
        </w:tc>
        <w:tc>
          <w:tcPr>
            <w:tcW w:w="851"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50"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5960,5</w:t>
            </w:r>
          </w:p>
        </w:tc>
        <w:tc>
          <w:tcPr>
            <w:tcW w:w="709"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51"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941,8</w:t>
            </w:r>
          </w:p>
        </w:tc>
        <w:tc>
          <w:tcPr>
            <w:tcW w:w="850"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851"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18,8</w:t>
            </w:r>
          </w:p>
        </w:tc>
      </w:tr>
      <w:tr w:rsidR="00BC46F9">
        <w:tc>
          <w:tcPr>
            <w:tcW w:w="2693" w:type="dxa"/>
            <w:tcBorders>
              <w:top w:val="nil"/>
              <w:left w:val="single" w:sz="6" w:space="0" w:color="auto"/>
              <w:bottom w:val="single" w:sz="6" w:space="0" w:color="auto"/>
              <w:right w:val="nil"/>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w:t>
            </w:r>
          </w:p>
        </w:tc>
        <w:tc>
          <w:tcPr>
            <w:tcW w:w="850"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3539,6</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70,5</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5693,9</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95,5</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2154,3</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60,9</w:t>
            </w:r>
          </w:p>
        </w:tc>
      </w:tr>
      <w:tr w:rsidR="00BC46F9">
        <w:tc>
          <w:tcPr>
            <w:tcW w:w="2693" w:type="dxa"/>
            <w:tcBorders>
              <w:top w:val="nil"/>
              <w:left w:val="single" w:sz="6" w:space="0" w:color="auto"/>
              <w:bottom w:val="single" w:sz="6" w:space="0" w:color="auto"/>
              <w:right w:val="nil"/>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850"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1955,7</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39,0</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1955,7</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39,0</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r>
      <w:tr w:rsidR="00BC46F9">
        <w:tc>
          <w:tcPr>
            <w:tcW w:w="2693" w:type="dxa"/>
            <w:tcBorders>
              <w:top w:val="nil"/>
              <w:left w:val="single" w:sz="6" w:space="0" w:color="auto"/>
              <w:bottom w:val="single" w:sz="6" w:space="0" w:color="auto"/>
              <w:right w:val="nil"/>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Обязательство</w:t>
            </w:r>
          </w:p>
        </w:tc>
        <w:tc>
          <w:tcPr>
            <w:tcW w:w="850"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227,0</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266,6</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39,6</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w:t>
            </w:r>
          </w:p>
        </w:tc>
      </w:tr>
      <w:tr w:rsidR="00BC46F9">
        <w:tc>
          <w:tcPr>
            <w:tcW w:w="2693" w:type="dxa"/>
            <w:tcBorders>
              <w:top w:val="nil"/>
              <w:left w:val="single" w:sz="6" w:space="0" w:color="auto"/>
              <w:bottom w:val="single" w:sz="6" w:space="0" w:color="auto"/>
              <w:right w:val="nil"/>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Текущие обязательства</w:t>
            </w:r>
          </w:p>
        </w:tc>
        <w:tc>
          <w:tcPr>
            <w:tcW w:w="850"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175,1</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197,9</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22,8</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w:t>
            </w:r>
          </w:p>
        </w:tc>
      </w:tr>
      <w:tr w:rsidR="00BC46F9">
        <w:tc>
          <w:tcPr>
            <w:tcW w:w="2693" w:type="dxa"/>
            <w:tcBorders>
              <w:top w:val="nil"/>
              <w:left w:val="single" w:sz="6" w:space="0" w:color="auto"/>
              <w:bottom w:val="single" w:sz="6" w:space="0" w:color="auto"/>
              <w:right w:val="nil"/>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850"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155,6</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172,1</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Анализируя капитал ООО «Новоуральская промышленная компания» на основе пассива баланса за 2014 - 2015 года можно определить такие тенденции - табл. 4. Анализируя капитал ООО «Новоуральская промышленная компания» на основе пассива баланса за 2014- 2015 года можно определить такие тенденции: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Стоимость капитала (валюта пассива баланса) увеличилась на 580,7 млн. руб., или на 10,2% Это увеличение происходило за счет увеличения собственного </w:t>
      </w:r>
      <w:r>
        <w:rPr>
          <w:rFonts w:ascii="Times New Roman CYR" w:hAnsi="Times New Roman CYR" w:cs="Times New Roman CYR"/>
          <w:color w:val="000000"/>
          <w:sz w:val="28"/>
          <w:szCs w:val="28"/>
        </w:rPr>
        <w:lastRenderedPageBreak/>
        <w:t>капитала (на 580,7 млн. руб., или на 10,2%).</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негативным тенденциям нужно отнести дальнейшее увеличение обязательств предприятия на 164,8 млн. руб. за счет увеличения текущих обязательств на 136,1 млн. руб., (на 68,8) и за счет увеличения кредиторской задолженности на 160 млн. руб., (на 93%).</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5. Анализ капитала ООО «Новоуральская промышленная компания» за 2014-2015 гг.</w:t>
      </w:r>
    </w:p>
    <w:tbl>
      <w:tblPr>
        <w:tblW w:w="0" w:type="auto"/>
        <w:jc w:val="center"/>
        <w:tblLayout w:type="fixed"/>
        <w:tblCellMar>
          <w:left w:w="0" w:type="dxa"/>
          <w:right w:w="0" w:type="dxa"/>
        </w:tblCellMar>
        <w:tblLook w:val="0000" w:firstRow="0" w:lastRow="0" w:firstColumn="0" w:lastColumn="0" w:noHBand="0" w:noVBand="0"/>
      </w:tblPr>
      <w:tblGrid>
        <w:gridCol w:w="2762"/>
        <w:gridCol w:w="993"/>
        <w:gridCol w:w="850"/>
        <w:gridCol w:w="851"/>
        <w:gridCol w:w="850"/>
        <w:gridCol w:w="851"/>
        <w:gridCol w:w="850"/>
        <w:gridCol w:w="709"/>
      </w:tblGrid>
      <w:tr w:rsidR="00BC46F9">
        <w:trPr>
          <w:jc w:val="center"/>
        </w:trPr>
        <w:tc>
          <w:tcPr>
            <w:tcW w:w="2762" w:type="dxa"/>
            <w:tcBorders>
              <w:top w:val="single" w:sz="6" w:space="0" w:color="auto"/>
              <w:left w:val="single" w:sz="6" w:space="0" w:color="auto"/>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843" w:type="dxa"/>
            <w:gridSpan w:val="2"/>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701" w:type="dxa"/>
            <w:gridSpan w:val="2"/>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410" w:type="dxa"/>
            <w:gridSpan w:val="3"/>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 (+;-)</w:t>
            </w:r>
          </w:p>
        </w:tc>
      </w:tr>
      <w:tr w:rsidR="00BC46F9">
        <w:trPr>
          <w:jc w:val="center"/>
        </w:trPr>
        <w:tc>
          <w:tcPr>
            <w:tcW w:w="2762" w:type="dxa"/>
            <w:tcBorders>
              <w:top w:val="nil"/>
              <w:left w:val="single" w:sz="6" w:space="0" w:color="auto"/>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nil"/>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млн.руб.</w:t>
            </w:r>
          </w:p>
        </w:tc>
        <w:tc>
          <w:tcPr>
            <w:tcW w:w="850" w:type="dxa"/>
            <w:tcBorders>
              <w:top w:val="nil"/>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итогу</w:t>
            </w:r>
          </w:p>
        </w:tc>
        <w:tc>
          <w:tcPr>
            <w:tcW w:w="851" w:type="dxa"/>
            <w:tcBorders>
              <w:top w:val="nil"/>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млн.руб.</w:t>
            </w:r>
          </w:p>
        </w:tc>
        <w:tc>
          <w:tcPr>
            <w:tcW w:w="850" w:type="dxa"/>
            <w:tcBorders>
              <w:top w:val="nil"/>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итогу</w:t>
            </w:r>
          </w:p>
        </w:tc>
        <w:tc>
          <w:tcPr>
            <w:tcW w:w="851" w:type="dxa"/>
            <w:tcBorders>
              <w:top w:val="nil"/>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млн.руб</w:t>
            </w:r>
          </w:p>
        </w:tc>
        <w:tc>
          <w:tcPr>
            <w:tcW w:w="850" w:type="dxa"/>
            <w:tcBorders>
              <w:top w:val="nil"/>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Уд.вес, пунктов</w:t>
            </w:r>
          </w:p>
        </w:tc>
        <w:tc>
          <w:tcPr>
            <w:tcW w:w="709" w:type="dxa"/>
            <w:tcBorders>
              <w:top w:val="nil"/>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2013 г.</w:t>
            </w:r>
          </w:p>
        </w:tc>
      </w:tr>
      <w:tr w:rsidR="00BC46F9">
        <w:trPr>
          <w:jc w:val="center"/>
        </w:trPr>
        <w:tc>
          <w:tcPr>
            <w:tcW w:w="276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3" w:type="dxa"/>
            <w:tcBorders>
              <w:top w:val="single" w:sz="6" w:space="0" w:color="auto"/>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50" w:type="dxa"/>
            <w:tcBorders>
              <w:top w:val="single" w:sz="6" w:space="0" w:color="auto"/>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50" w:type="dxa"/>
            <w:tcBorders>
              <w:top w:val="single" w:sz="6" w:space="0" w:color="auto"/>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851" w:type="dxa"/>
            <w:tcBorders>
              <w:top w:val="single" w:sz="6" w:space="0" w:color="auto"/>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6=4-2</w:t>
            </w:r>
          </w:p>
        </w:tc>
        <w:tc>
          <w:tcPr>
            <w:tcW w:w="850" w:type="dxa"/>
            <w:tcBorders>
              <w:top w:val="single" w:sz="6" w:space="0" w:color="auto"/>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7=5-3</w:t>
            </w:r>
          </w:p>
        </w:tc>
        <w:tc>
          <w:tcPr>
            <w:tcW w:w="709" w:type="dxa"/>
            <w:tcBorders>
              <w:top w:val="single" w:sz="6" w:space="0" w:color="auto"/>
              <w:left w:val="nil"/>
              <w:bottom w:val="nil"/>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8=6/2*1</w:t>
            </w:r>
          </w:p>
        </w:tc>
      </w:tr>
      <w:tr w:rsidR="00BC46F9">
        <w:trPr>
          <w:jc w:val="center"/>
        </w:trPr>
        <w:tc>
          <w:tcPr>
            <w:tcW w:w="2762" w:type="dxa"/>
            <w:tcBorders>
              <w:top w:val="nil"/>
              <w:left w:val="single" w:sz="6" w:space="0" w:color="auto"/>
              <w:bottom w:val="single" w:sz="6" w:space="0" w:color="auto"/>
              <w:right w:val="nil"/>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Капитала всего</w:t>
            </w:r>
          </w:p>
        </w:tc>
        <w:tc>
          <w:tcPr>
            <w:tcW w:w="99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5960,5</w:t>
            </w:r>
          </w:p>
        </w:tc>
        <w:tc>
          <w:tcPr>
            <w:tcW w:w="850"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51"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6706,0</w:t>
            </w:r>
          </w:p>
        </w:tc>
        <w:tc>
          <w:tcPr>
            <w:tcW w:w="850"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51"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745,5</w:t>
            </w:r>
          </w:p>
        </w:tc>
        <w:tc>
          <w:tcPr>
            <w:tcW w:w="850"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709" w:type="dxa"/>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w:t>
            </w:r>
          </w:p>
        </w:tc>
      </w:tr>
      <w:tr w:rsidR="00BC46F9">
        <w:trPr>
          <w:jc w:val="center"/>
        </w:trPr>
        <w:tc>
          <w:tcPr>
            <w:tcW w:w="2762" w:type="dxa"/>
            <w:tcBorders>
              <w:top w:val="nil"/>
              <w:left w:val="single" w:sz="6" w:space="0" w:color="auto"/>
              <w:bottom w:val="single" w:sz="6" w:space="0" w:color="auto"/>
              <w:right w:val="nil"/>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993"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r>
      <w:tr w:rsidR="00BC46F9">
        <w:trPr>
          <w:jc w:val="center"/>
        </w:trPr>
        <w:tc>
          <w:tcPr>
            <w:tcW w:w="2762" w:type="dxa"/>
            <w:tcBorders>
              <w:top w:val="nil"/>
              <w:left w:val="single" w:sz="6" w:space="0" w:color="auto"/>
              <w:bottom w:val="single" w:sz="6" w:space="0" w:color="auto"/>
              <w:right w:val="nil"/>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w:t>
            </w:r>
          </w:p>
        </w:tc>
        <w:tc>
          <w:tcPr>
            <w:tcW w:w="993"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5693,9</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95,5</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6274,6</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93,6</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580,7</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w:t>
            </w:r>
          </w:p>
        </w:tc>
      </w:tr>
      <w:tr w:rsidR="00BC46F9">
        <w:trPr>
          <w:jc w:val="center"/>
        </w:trPr>
        <w:tc>
          <w:tcPr>
            <w:tcW w:w="2762" w:type="dxa"/>
            <w:tcBorders>
              <w:top w:val="nil"/>
              <w:left w:val="single" w:sz="6" w:space="0" w:color="auto"/>
              <w:bottom w:val="single" w:sz="6" w:space="0" w:color="auto"/>
              <w:right w:val="nil"/>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Уставный капитал</w:t>
            </w:r>
          </w:p>
        </w:tc>
        <w:tc>
          <w:tcPr>
            <w:tcW w:w="993"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1955,7</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32,8</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1955,7</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r>
      <w:tr w:rsidR="00BC46F9">
        <w:trPr>
          <w:jc w:val="center"/>
        </w:trPr>
        <w:tc>
          <w:tcPr>
            <w:tcW w:w="2762" w:type="dxa"/>
            <w:tcBorders>
              <w:top w:val="nil"/>
              <w:left w:val="single" w:sz="6" w:space="0" w:color="auto"/>
              <w:bottom w:val="single" w:sz="6" w:space="0" w:color="auto"/>
              <w:right w:val="nil"/>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Обязательство</w:t>
            </w:r>
          </w:p>
        </w:tc>
        <w:tc>
          <w:tcPr>
            <w:tcW w:w="993"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266,6</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431,4</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164,8</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61,8</w:t>
            </w:r>
          </w:p>
        </w:tc>
      </w:tr>
      <w:tr w:rsidR="00BC46F9">
        <w:trPr>
          <w:jc w:val="center"/>
        </w:trPr>
        <w:tc>
          <w:tcPr>
            <w:tcW w:w="2762" w:type="dxa"/>
            <w:tcBorders>
              <w:top w:val="nil"/>
              <w:left w:val="single" w:sz="6" w:space="0" w:color="auto"/>
              <w:bottom w:val="single" w:sz="6" w:space="0" w:color="auto"/>
              <w:right w:val="nil"/>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Текущие обязательства</w:t>
            </w:r>
          </w:p>
        </w:tc>
        <w:tc>
          <w:tcPr>
            <w:tcW w:w="993"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197,9</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334,0</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136,1</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68,8</w:t>
            </w:r>
          </w:p>
        </w:tc>
      </w:tr>
      <w:tr w:rsidR="00BC46F9">
        <w:trPr>
          <w:jc w:val="center"/>
        </w:trPr>
        <w:tc>
          <w:tcPr>
            <w:tcW w:w="2762" w:type="dxa"/>
            <w:tcBorders>
              <w:top w:val="nil"/>
              <w:left w:val="single" w:sz="6" w:space="0" w:color="auto"/>
              <w:bottom w:val="single" w:sz="6" w:space="0" w:color="auto"/>
              <w:right w:val="nil"/>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 Кредиторская задолжен.</w:t>
            </w:r>
          </w:p>
        </w:tc>
        <w:tc>
          <w:tcPr>
            <w:tcW w:w="993"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172,1</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332,1</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160,0</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93,0</w:t>
            </w:r>
          </w:p>
        </w:tc>
      </w:tr>
      <w:tr w:rsidR="00BC46F9">
        <w:trPr>
          <w:jc w:val="center"/>
        </w:trPr>
        <w:tc>
          <w:tcPr>
            <w:tcW w:w="2762" w:type="dxa"/>
            <w:tcBorders>
              <w:top w:val="nil"/>
              <w:left w:val="single" w:sz="6" w:space="0" w:color="auto"/>
              <w:bottom w:val="single" w:sz="6" w:space="0" w:color="auto"/>
              <w:right w:val="nil"/>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Доходы будущих периодов</w:t>
            </w:r>
          </w:p>
        </w:tc>
        <w:tc>
          <w:tcPr>
            <w:tcW w:w="993"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Проведем оценку прибыльности и рентабельности на исследуемом предприятии. Прибыльность измеряется двумя показателями - прибылью и рентабельностью. Прибыль выражает абсолютный эффект без учета использованных ресурсов. Поэтому для анализа его дополняют показателем рентабельности. Прибыль - это и часть выручки, которая остается после возмещения всех расходов на производственную и коммерческую деятельность предприятия [31-33].</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Общая величина прибыли предприятия имеет те же источники, которые и доход, то есть она включает прибыль от реализации продукции, материальных ценностей и имущества, внереализационных операций.</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Выполнение плана прибыли является одним из конечных показателей, </w:t>
      </w:r>
      <w:r>
        <w:rPr>
          <w:rFonts w:ascii="Times New Roman CYR" w:hAnsi="Times New Roman CYR" w:cs="Times New Roman CYR"/>
          <w:color w:val="000000"/>
          <w:sz w:val="28"/>
          <w:szCs w:val="28"/>
        </w:rPr>
        <w:lastRenderedPageBreak/>
        <w:t>работы предприятия. Размер прибыли в основном зависит от объема реализации продукции и ее себестоимости [2].</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Перейдем к анализу динамики и структуры финансового результата от операционной деятельности, финансового результата от обычной деятельности и чистой прибыли предприятия за 2014-2015 года. Источником анализа при этом выступают данные формы №2 “Отчет о финансовых результатах”.</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динамике финансовых результатов выручка от реализации в 2015 году в сравнении с 2014 годом увеличилась - 409,2 млн. руб. или на 8,6%. А в 2013 году в сравнении с 2012 годом -436,9 млн. руб. (8,4%) На это повлиял рост дохода от реализации продукции за счет увеличения объемов производства основных видов услуг. Что касается себестоимости, то величина ее прироста составляет 22% в сравнении с 2012 г. и на 10% в 2014 г. в сравнении с 2015 и это имело негативное влияние на величину валовой прибыли, и как видим она уменьшился на 360 млн. руб. в 2014 г., а в 2015 увеличился на 10,2 млн. руб.</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Административные расходы уменьшились на 16,2% в 2012 г. но уже в 2015 г. они возросли на 46,3% в сравнении с предыдущим годом. Расходы на сбыт в 2014 и 2015 гг. увеличивались на 47% и 5,8% соответственно. Величина других операционных расходов также характеризуется значительным уменьшением на 59,5% в 2014 г. но уже в следующем году они возросли на 80,9%, причинами чего могут быть сомнительные долги и потери от обесценения запасов, которые хранятся на складах, экономические санкции, которые применяются к предприятию и т.п.</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Величина валовой прибыли, других операционных доходов, административных расходов, расходов на сбыт и других операционных расходов оказывают непосредственное влияние на величину финансового результата от операционной деятельности, который на протяжении 2014 и 2015 годов уменьшался на 34,8% и на 31,2% в сравнении с предыдущим годом. Прибыль от </w:t>
      </w:r>
      <w:r>
        <w:rPr>
          <w:rFonts w:ascii="Times New Roman CYR" w:hAnsi="Times New Roman CYR" w:cs="Times New Roman CYR"/>
          <w:color w:val="000000"/>
          <w:sz w:val="28"/>
          <w:szCs w:val="28"/>
        </w:rPr>
        <w:lastRenderedPageBreak/>
        <w:t>обычной деятельности к налогообложению также уменьшалась в 2014 г. - на 47,5% а в 2015 г. - на 27,3% Величина чистой прибыли равняется величине прибыли от обычной деятельности, это связано с тем, что предприятие не получило чрезвычайных доходов и не понесло чрезвычайных расходов. Чистая прибыль на конец 2014 года в сравнении с 2013 годом уменьшился на 404,6 млн. руб. или на 47,5, а на конец 2015 года в сравнении с 2014 годом - на 122 млн. руб., (27,3%).</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Итак, согласно проведенному анализу можно сделать вывод, что хоть в 2014 и 2015 годах наблюдалось значительное увеличение выручки от реализации продукции, чистая прибыль в этот период уменьшалась. На это в значительной мере повлияло увеличение операционных расходов и это увеличение было большим чем рост выручки от реализации. В 2015 г. в сравнении с 2014 г. в составе операционных расходов увеличилась себестоимость услуг и расходы на сбыт а в 2016 кроме этого также увеличились административные и другие административные расходы, что и стало основной причиной снижения прибыли в 2014 и 2015 годах.</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Прибыль показывает абсолютный эффект деятельности без учета использованных при этом ресурсов, поэтому он дополняется показателем рентабельности [29].</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Рентабельность - это относительный показатель эффективности работы предприятия. В общей форме он исчисляется как отношения прибыли к расходам.</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Нужно отличать рентабельность примененных ресурсов и рентабельность продукции.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Показатели рентабельности активов свидетельствуют какую прибыль получает предприятие с каждого рубля, вложенного в активы. Все показатели рентабельности характеризуют эффективность работы предприятия в целом, </w:t>
      </w:r>
      <w:r>
        <w:rPr>
          <w:rFonts w:ascii="Times New Roman CYR" w:hAnsi="Times New Roman CYR" w:cs="Times New Roman CYR"/>
          <w:color w:val="000000"/>
          <w:sz w:val="28"/>
          <w:szCs w:val="28"/>
        </w:rPr>
        <w:lastRenderedPageBreak/>
        <w:t>доходность разных сфер деятельности, окупаемости расходов. Эти показатели более широко показывают конечные результаты деятельности, потому, что их величина показывает соотношение эффекта с собственными или использованными ресурсами [3-5].</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Проведем оценку динамики рентабельности (убыточности) деятельности ООО «Новоуральская промышленная компания» за 2014-2015 года (табл. 6).</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6. Оценка динамики рентабельности (убыточности) деятельности за 2014-2015 года ООО «Новоуральская промышленная компания»</w:t>
      </w:r>
    </w:p>
    <w:tbl>
      <w:tblPr>
        <w:tblW w:w="0" w:type="auto"/>
        <w:jc w:val="center"/>
        <w:tblLayout w:type="fixed"/>
        <w:tblLook w:val="0000" w:firstRow="0" w:lastRow="0" w:firstColumn="0" w:lastColumn="0" w:noHBand="0" w:noVBand="0"/>
      </w:tblPr>
      <w:tblGrid>
        <w:gridCol w:w="4219"/>
        <w:gridCol w:w="802"/>
        <w:gridCol w:w="850"/>
        <w:gridCol w:w="851"/>
        <w:gridCol w:w="1134"/>
        <w:gridCol w:w="1134"/>
      </w:tblGrid>
      <w:tr w:rsidR="00BC46F9">
        <w:trPr>
          <w:jc w:val="center"/>
        </w:trPr>
        <w:tc>
          <w:tcPr>
            <w:tcW w:w="42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503" w:type="dxa"/>
            <w:gridSpan w:val="3"/>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268" w:type="dxa"/>
            <w:gridSpan w:val="2"/>
            <w:tcBorders>
              <w:top w:val="single" w:sz="6" w:space="0" w:color="auto"/>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BC46F9">
        <w:trPr>
          <w:jc w:val="center"/>
        </w:trPr>
        <w:tc>
          <w:tcPr>
            <w:tcW w:w="42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0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BC46F9">
        <w:trPr>
          <w:jc w:val="center"/>
        </w:trPr>
        <w:tc>
          <w:tcPr>
            <w:tcW w:w="421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 млн. руб.</w:t>
            </w:r>
          </w:p>
        </w:tc>
        <w:tc>
          <w:tcPr>
            <w:tcW w:w="80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851,8</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447,2</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325,2</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213,6</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-330,6</w:t>
            </w:r>
          </w:p>
        </w:tc>
      </w:tr>
      <w:tr w:rsidR="00BC46F9">
        <w:trPr>
          <w:jc w:val="center"/>
        </w:trPr>
        <w:tc>
          <w:tcPr>
            <w:tcW w:w="421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активов, млн. руб.</w:t>
            </w:r>
          </w:p>
        </w:tc>
        <w:tc>
          <w:tcPr>
            <w:tcW w:w="80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4554,4</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5489,6</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6333,2</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935,2</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843,6</w:t>
            </w:r>
          </w:p>
        </w:tc>
      </w:tr>
      <w:tr w:rsidR="00BC46F9">
        <w:trPr>
          <w:jc w:val="center"/>
        </w:trPr>
        <w:tc>
          <w:tcPr>
            <w:tcW w:w="421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 млн. руб.</w:t>
            </w:r>
          </w:p>
        </w:tc>
        <w:tc>
          <w:tcPr>
            <w:tcW w:w="80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4071,5</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5231,4</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5680,4</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1159,9</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449</w:t>
            </w:r>
          </w:p>
        </w:tc>
      </w:tr>
      <w:tr w:rsidR="00BC46F9">
        <w:trPr>
          <w:jc w:val="center"/>
        </w:trPr>
        <w:tc>
          <w:tcPr>
            <w:tcW w:w="421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млн. руб.</w:t>
            </w:r>
          </w:p>
        </w:tc>
        <w:tc>
          <w:tcPr>
            <w:tcW w:w="80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851,8</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1065,4</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734,8</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-404,6</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-122,0</w:t>
            </w:r>
          </w:p>
        </w:tc>
      </w:tr>
      <w:tr w:rsidR="00BC46F9">
        <w:trPr>
          <w:jc w:val="center"/>
        </w:trPr>
        <w:tc>
          <w:tcPr>
            <w:tcW w:w="421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 млн. руб.</w:t>
            </w:r>
          </w:p>
        </w:tc>
        <w:tc>
          <w:tcPr>
            <w:tcW w:w="80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3539,6</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5693,9</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6274,6</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2154,3</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580,7</w:t>
            </w:r>
          </w:p>
        </w:tc>
      </w:tr>
      <w:tr w:rsidR="00BC46F9">
        <w:trPr>
          <w:jc w:val="center"/>
        </w:trPr>
        <w:tc>
          <w:tcPr>
            <w:tcW w:w="421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производственных фондов</w:t>
            </w:r>
          </w:p>
        </w:tc>
        <w:tc>
          <w:tcPr>
            <w:tcW w:w="80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20,9</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25,36</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22,52</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4,46</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-2,84</w:t>
            </w:r>
          </w:p>
        </w:tc>
      </w:tr>
      <w:tr w:rsidR="00BC46F9">
        <w:trPr>
          <w:jc w:val="center"/>
        </w:trPr>
        <w:tc>
          <w:tcPr>
            <w:tcW w:w="421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(убыточность) активов, %</w:t>
            </w:r>
          </w:p>
        </w:tc>
        <w:tc>
          <w:tcPr>
            <w:tcW w:w="80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18,8</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BC46F9">
        <w:trPr>
          <w:jc w:val="center"/>
        </w:trPr>
        <w:tc>
          <w:tcPr>
            <w:tcW w:w="421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 (убыточность) реализации услуг, %</w:t>
            </w:r>
          </w:p>
        </w:tc>
        <w:tc>
          <w:tcPr>
            <w:tcW w:w="80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24,72</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10,64</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7,04</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-14,08</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r>
      <w:tr w:rsidR="00BC46F9">
        <w:trPr>
          <w:jc w:val="center"/>
        </w:trPr>
        <w:tc>
          <w:tcPr>
            <w:tcW w:w="421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 (убыточность) собств. капитала, %</w:t>
            </w:r>
          </w:p>
        </w:tc>
        <w:tc>
          <w:tcPr>
            <w:tcW w:w="80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-16,2</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r>
      <w:tr w:rsidR="00BC46F9">
        <w:trPr>
          <w:jc w:val="center"/>
        </w:trPr>
        <w:tc>
          <w:tcPr>
            <w:tcW w:w="4219"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(убыточность) производственных расходов, %</w:t>
            </w:r>
          </w:p>
        </w:tc>
        <w:tc>
          <w:tcPr>
            <w:tcW w:w="802"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37,6</w:t>
            </w:r>
          </w:p>
        </w:tc>
        <w:tc>
          <w:tcPr>
            <w:tcW w:w="850"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22,3</w:t>
            </w:r>
          </w:p>
        </w:tc>
        <w:tc>
          <w:tcPr>
            <w:tcW w:w="851"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w:t>
            </w:r>
          </w:p>
        </w:tc>
        <w:tc>
          <w:tcPr>
            <w:tcW w:w="1134" w:type="dxa"/>
            <w:tcBorders>
              <w:top w:val="nil"/>
              <w:left w:val="nil"/>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Анализируя таблицу 5 можно сказать, что рентабельность на предприятии в 2013 г. была на надлежащем уровне.</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Но в 2014 г. и в 2015 г. существует тенденция существенного уменьшения таких показателей рентабельности как рентабельность реализации услуг, производственных расходов, рентабельность собственного капитала, что обозначилось и на более общем показателе рентабельности - рентабельность активов. Такие негативные тенденции связанные в первую очередь со снижением получаемой прибыли и увеличением расходов на производство, не считая даже увеличение объема реализации продукции в эти года. Итак, для повышения </w:t>
      </w:r>
      <w:r>
        <w:rPr>
          <w:rFonts w:ascii="Times New Roman CYR" w:hAnsi="Times New Roman CYR" w:cs="Times New Roman CYR"/>
          <w:color w:val="000000"/>
          <w:sz w:val="28"/>
          <w:szCs w:val="28"/>
        </w:rPr>
        <w:lastRenderedPageBreak/>
        <w:t>уровня рентабельности фирме необходимо снизить затраты на производство и увеличить валовой объем услуг, расширяя параллельно рынки сбыта услуг.</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Следующим этапом финансового анализа ООО «Новоуральская промышленная компания» нужно провести анализ ликвидности и платежеспособности.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Словарь определяет термин ликвидность как [27-28]:</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возможность преобразования статей актива в деньги для уплаты обязательств по пассиву;</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легкость реализации, продажи, преобразование материальных ценностей в денежную наличность.</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этих определений, можно сделать вывод, что ликвидность - это способность определенного, не в денежной форме, актива, превратиться (ликвидировать начальную форму существования) в денежную форму. Безусловно, такое качество определенного актива имеет ценность с позиций использования полученной денежной формы актива для уплаты по определенным обязательствам. То есть, ликвидность актива не в денежной форме обеспечивает потребности платежеспособности любых субъектов. Поэтому анализ ликвидности предприятия хорошо характеризует платежеспособность предприятия [6-8].</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Проведем сравнение изменений показателей ликвидности по годам на исследуемом предприятии (таблица 6). Как видно из таблицы 2.6 коэффициенте быстрой и общей ликвидности менялись довольно сильно. Так в период с 2013 по 2014 года их увеличение представляло + 66 и +1,9 % соответственно, а период с 2015 по 2016 года эти же коэффициенты снизились, коэффициент общей ликвидности - на 31,3 % а коэффициент быстрой ликвидности - на 51,8 %, что конечно, является негативным явлением.</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Таблица 7. Анализ ликвидности и платежеспособности ООО «Новоуральская промышленная компания»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992"/>
        <w:gridCol w:w="1068"/>
        <w:gridCol w:w="900"/>
        <w:gridCol w:w="1009"/>
        <w:gridCol w:w="992"/>
      </w:tblGrid>
      <w:tr w:rsidR="00BC46F9">
        <w:trPr>
          <w:jc w:val="center"/>
        </w:trPr>
        <w:tc>
          <w:tcPr>
            <w:tcW w:w="382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06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0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00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BC46F9">
        <w:trPr>
          <w:jc w:val="center"/>
        </w:trPr>
        <w:tc>
          <w:tcPr>
            <w:tcW w:w="382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общей ликвидации</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17,82</w:t>
            </w:r>
          </w:p>
        </w:tc>
        <w:tc>
          <w:tcPr>
            <w:tcW w:w="106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18,34</w:t>
            </w:r>
          </w:p>
        </w:tc>
        <w:tc>
          <w:tcPr>
            <w:tcW w:w="90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w:t>
            </w:r>
          </w:p>
        </w:tc>
        <w:tc>
          <w:tcPr>
            <w:tcW w:w="100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-31,3</w:t>
            </w:r>
          </w:p>
        </w:tc>
      </w:tr>
      <w:tr w:rsidR="00BC46F9">
        <w:trPr>
          <w:jc w:val="center"/>
        </w:trPr>
        <w:tc>
          <w:tcPr>
            <w:tcW w:w="382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быстрой ликвидности</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w:t>
            </w:r>
          </w:p>
        </w:tc>
        <w:tc>
          <w:tcPr>
            <w:tcW w:w="106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4,92</w:t>
            </w:r>
          </w:p>
        </w:tc>
        <w:tc>
          <w:tcPr>
            <w:tcW w:w="90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100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-51,8</w:t>
            </w:r>
          </w:p>
        </w:tc>
      </w:tr>
      <w:tr w:rsidR="00BC46F9">
        <w:trPr>
          <w:jc w:val="center"/>
        </w:trPr>
        <w:tc>
          <w:tcPr>
            <w:tcW w:w="382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c>
          <w:tcPr>
            <w:tcW w:w="106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w:t>
            </w:r>
          </w:p>
        </w:tc>
        <w:tc>
          <w:tcPr>
            <w:tcW w:w="90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4,27</w:t>
            </w:r>
          </w:p>
        </w:tc>
        <w:tc>
          <w:tcPr>
            <w:tcW w:w="100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r>
      <w:tr w:rsidR="00BC46F9">
        <w:trPr>
          <w:jc w:val="center"/>
        </w:trPr>
        <w:tc>
          <w:tcPr>
            <w:tcW w:w="382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собственных оборотных средств</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6739,5</w:t>
            </w:r>
          </w:p>
        </w:tc>
        <w:tc>
          <w:tcPr>
            <w:tcW w:w="106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3434,3</w:t>
            </w:r>
          </w:p>
        </w:tc>
        <w:tc>
          <w:tcPr>
            <w:tcW w:w="90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3876,3</w:t>
            </w:r>
          </w:p>
        </w:tc>
        <w:tc>
          <w:tcPr>
            <w:tcW w:w="100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w:t>
            </w:r>
          </w:p>
        </w:tc>
      </w:tr>
    </w:tbl>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 в отличие от этих показателей ликвидности показатель абсолютной ликвидности, которая характеризует мгновенную платежеспособность, существенно не менялся, но ее значение превышает нормативное (0,2 - 0,3), что говорит о неэффективном использовании денежных средств. Таким образом, согласно проведеному анализу можно сделать вывод, что хоть в 2014 и 2015 годах наблюдалось значительное увеличение выручки от реализации продукции, чистая прибыль в этот период уменьшалась. На это в значительной мере повиляло увеличение операционных расходов и это увеличение было большим чем рост выручки от реализации. В 2014 г. в сравнении с 2013 г. в составе операционных расходов увеличилась себестоимость услуг и расходы на сбыт а в 2011 кроме этого также увеличились административные и другие расходы, что и стало основной причиной снижения прибыли в 2014 и 2015 годах.</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2016 г. существует тенденция существенного уменьшения таких показателей рентабельности как рентабельность реализации услуг, производственных расходов, рентабельность собственного капитала, что обозначилось и на более общем показателе рентабельности - рентабельность активов. Такие негативне тенденции связанные в первую очередь со снижением получаемой прибыли и увеличением расходов на производство, не считая даже увеличение объема реализации продукции в этого периода. Итак, для повышения уровня рентабельности фирме необходимо снизить затраты на производство и увеличить валовой объем услуг, расширяя паралельно рынки сбыта услуг.</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Характеристика и оценка эффективности команды управления проектами ООО «Новоуральская промышленная компания»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счету коллектива ООО «Новоуральская промышленная компания» сотни построенных и реконструированных объектов различной сложности. ООО «Новоуральская промышленная компания» участвует в реализации таких проектов, как:</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трубопроводной системы Восточная Сибирь - Тихий океан (участок ГНПС «Тайшет» - НПС «Сковородино»); ЛЭС «Тында»; НГС1-1,6-2400-2 на УПН-1 на Верхнечонском нефтегазоконденсатном месторождении;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сооружение водоснабжения и системы ППД на Верхнечонском нефтегазоконденсатном месторождении на УПН-1;</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до трех миллионов тонн в год УПН-1 на Верхнечонском нефтегазоконденсатном месторождении;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этап строительства производственного комплекса ЦПС на Тямкинском месторождении;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реконструкция резервуара объемом 20 тысяч кубометров на НПС «Ярославль-3» Ярославского районного нефтепроводного управления.2013 года компания ООО «Новоуральская промышленная компания» стала осваивать объекты гражданского строительства в городе Новосибирске. Это абсолютно новая ниша в общем портфеле объектов ООО «Новоуральская промышленная компания», данные инвестиции в проекты гражданского строительства в вышеуказанном городе возникли за счет успешной реализации коммерческих проектов нефтегазового комплекса.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инвестиционному плану </w:t>
      </w:r>
      <w:r>
        <w:rPr>
          <w:rFonts w:ascii="Times New Roman CYR" w:hAnsi="Times New Roman CYR" w:cs="Times New Roman CYR"/>
          <w:sz w:val="28"/>
          <w:szCs w:val="28"/>
        </w:rPr>
        <w:t xml:space="preserve">ООО «Новоуральская промышленная </w:t>
      </w:r>
      <w:r>
        <w:rPr>
          <w:rFonts w:ascii="Times New Roman CYR" w:hAnsi="Times New Roman CYR" w:cs="Times New Roman CYR"/>
          <w:sz w:val="28"/>
          <w:szCs w:val="28"/>
        </w:rPr>
        <w:lastRenderedPageBreak/>
        <w:t xml:space="preserve">компания» </w:t>
      </w:r>
      <w:r>
        <w:rPr>
          <w:rFonts w:ascii="Times New Roman CYR" w:hAnsi="Times New Roman CYR" w:cs="Times New Roman CYR"/>
          <w:color w:val="000000"/>
          <w:sz w:val="28"/>
          <w:szCs w:val="28"/>
        </w:rPr>
        <w:t>предполагается проведение комплекса мероприятий по строительству парковачного комплекса по ул. Коминтерна в Дзержинском районе г. Новосибирска, а также трех жилых домов (социальной направленности) в Дзержинском и Кировском районах г. Новосибирска, с последующей реализацией построенных площадей. Проведенный анализ затрат при выбранной очередности строительства объектов приведен в Приложении 3.</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ООО «Новоуральская промышленная компания» </w:t>
      </w:r>
      <w:r>
        <w:rPr>
          <w:rFonts w:ascii="Times New Roman CYR" w:hAnsi="Times New Roman CYR" w:cs="Times New Roman CYR"/>
          <w:color w:val="000000"/>
          <w:sz w:val="28"/>
          <w:szCs w:val="28"/>
        </w:rPr>
        <w:t>будет выступать в качестве Заказчика - застройщика и как следствие того Внутренним заказчиком является Генеральный директор компании. Он определил основополагающие требования к проекту и отдал распоряжение об обеспечении его финансирования за счет собственных, либо привлеченных средств, также он назначил Куратором всего проектного процесса Руководителя Департамента по строительству.</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запланированных мероприятий, инициатором которых стал сотрудник Департамента по строительству ООО «Новоуральская промышленная компания, после завершения фазы концепции, проведенной Старшим инженером Департамента и утверждения реализации вышеизложенных заказов, поступило распоряжение высшего руководства о создании Команды инвестиционно-строительных проектов.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непосредственном понимании, Команда проекта представлена группой сотрудников, работающих над реализацией проекта, находящихся в подчинении руководителя. Данная Команда сформировывается на период действия проектных мероприятий и распускается после достижения поставленной цели.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Команда управления проектом, является частью команды проекта, которая ответственна за выполнение операций по управлению проектом (например, планирование, управление и завершение).</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отмечалось ранее, с целью достижения намеченных мероприятий Приказом Генерального директора был назначен Куратор проектов, который </w:t>
      </w:r>
      <w:r>
        <w:rPr>
          <w:rFonts w:ascii="Times New Roman CYR" w:hAnsi="Times New Roman CYR" w:cs="Times New Roman CYR"/>
          <w:sz w:val="28"/>
          <w:szCs w:val="28"/>
        </w:rPr>
        <w:lastRenderedPageBreak/>
        <w:t>является Руководителем Департамента по строительству и является ответственным лицом за реализацию проектов по установленным срокам, в соответствии с утвержденным бюджетом и с высоким качеством выполняемых работ.</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256C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24475" cy="2247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475" cy="2247900"/>
                    </a:xfrm>
                    <a:prstGeom prst="rect">
                      <a:avLst/>
                    </a:prstGeom>
                    <a:noFill/>
                    <a:ln>
                      <a:noFill/>
                    </a:ln>
                  </pic:spPr>
                </pic:pic>
              </a:graphicData>
            </a:graphic>
          </wp:inline>
        </w:drawing>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6. Матричная структура команды управления проектами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Изучая структуру управления необходимо отметить, что подчинение каждого члена команды своему непосредственному функциональному руководителю отражается вертикальными связями, а подчинение руководителям проектов показаны горизонтальными связями, стрелками в конце рисунка отображается возможность увеличения вертикальных связей, при изначальном формировании новой Команды управления.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рассмотрим поэтапное формирование каждого звена Команды управления и дадим оценку её эффективности.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приказа Генерального директора Компании о реализации проектов, начинается процесс создания кадрового оснащения. Поскольку у Компании нет единого руководителя проекта, так как было принято решение об максимальной экономии вложенных средств, обязанность по формированию устава возложена на Куратора, именно он, обсудив все значимые факторы, касаемые планируемых </w:t>
      </w:r>
      <w:r>
        <w:rPr>
          <w:rFonts w:ascii="Times New Roman CYR" w:hAnsi="Times New Roman CYR" w:cs="Times New Roman CYR"/>
          <w:sz w:val="28"/>
          <w:szCs w:val="28"/>
        </w:rPr>
        <w:lastRenderedPageBreak/>
        <w:t>работ с назначенными Руководителями проектов, рассчитал предполагаемые результаты реализации и сформировал команду проекта, обозначив роли, обязанности и ответственных лиц, представив его на рассмотрение Генерального директора.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Роли, обязанности и ответственность Команды Управления проекта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Куратор проектов, распределяет кадровое функционирование проектов, обеспечивает общий контроль, распределяет ресурсную базу, способствует реализации намеченных целей, принимает отчетность всех подчиняемых сотрудников Команды управления, а также назначает меры наказания, в случае нарушения должностных обязанностей, путем согласования с Генеральным директором. В непосредственном подчинении Куратора проекта находятся руководители проектов, инженер и администраторы отделов, в свою очередь он подчиняется Генеральному директору. После завершения всех проектных мероприятий, Куратор составляет общий отчет о проделанной работе Команды, понесенных расходах и полученных доходах, сроках исполнения обязательств, соответствии заявленных ранее требованиях и фактически проделанной работы и уровня ее качества и предоставляет его на рассмотрение Генеральному директору, в лице Внутреннего заказчика, который на основании полученных данных принимает решение о премировании определенных сотрудников Команды.</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Руководители проектов являются звеньями Команды управления, в непосредственном подчинении Куратору проектов, каждый из которых отвечает за свой проект, а именно организацию производственного, проектно-сметного, технологического процесса, с контролем за своевременным снабжением всеми необходимыми ресурсами для отлаженного функционирования. В обязанности </w:t>
      </w:r>
      <w:r>
        <w:rPr>
          <w:rFonts w:ascii="Times New Roman CYR" w:hAnsi="Times New Roman CYR" w:cs="Times New Roman CYR"/>
          <w:sz w:val="28"/>
          <w:szCs w:val="28"/>
        </w:rPr>
        <w:lastRenderedPageBreak/>
        <w:t>данных руководителей входит создание благоприятного климата в коллективе, контроль и мотивация трудового состава Команды проекта, обеспечение бесперебойной реализации целей проекта, составление отчетности по выполненным работам, произведенным затратам и прочее. Руководители проектов назначаются на должность по приказу Генерального директора.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Администратор производственного отдела, как представитель Команды управления,несет ответственность за производственный процесс, выявляя потребности производственного характера, отвечая за обеспечение безопасности производимых работ, составляет календарный план реализации проекта, с выделением необходимых объемов ресурсной базы и необходимыми сроками поставки. На должность администратора был назначен старший инженер из штата Департамента по строительству.</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Администратор финансового отделарешает управленческие вопросы, касаемые финансовых вопросов, а именно: финансовыми группами каждого проекта формируются данные по доходной и затратной части проектных мероприятий, собираются и фиксируются акты приемки выполненных работ по форме КС-2, ведутся табельные учеты рабочего времени и составляются ведомости с приложением всех финансовых документов, подтверждающих как доходы, так и расходы, в свою очередь администратором составляется бюджет доходов и расходов, перед началом реализации проекта, а после поступления отчетных ведомостей, вносятся необходимые поправки, составляется фактический бюджет движения денежных средств, передаются данные Руководителям по требуемым ресурсам. Администратор отчитывается перед Куратором о финансовом положении по реализации проекта, изначально предоставив ему плановый финансовый анализ реализации проекта.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Администратор технического отдела осуществляет управление техническим обеспечением инвестиционно-строительных проектов. Принимает </w:t>
      </w:r>
      <w:r>
        <w:rPr>
          <w:rFonts w:ascii="Times New Roman CYR" w:hAnsi="Times New Roman CYR" w:cs="Times New Roman CYR"/>
          <w:sz w:val="28"/>
          <w:szCs w:val="28"/>
        </w:rPr>
        <w:lastRenderedPageBreak/>
        <w:t>решения об информационно - техническом оснащении, определяет технико-экономические параметры работ (в сроках, стоимостном выражении, необходимым ресурсам), осуществляет контроль достаточности технологического оснащения.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в штате Департамента по строительству отсутствует проектно-сметный отдел, Куратор проектов воспользовался услугами сторонней организации ООО «Ермак» по составлению текущих сметных работ.</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2.4 Оценка эффективности Команды управления инвестиционно-строительными проектами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Рассмотрев текущую структуру Команды управления проектами необходимо отметить, что в данном виде она имеет ряд существенных недостатков, к которым следует отнести нехватку функциональных отделов, возглавляемых управленческими кадрами, отсутствие единого Руководителя программы, недостаточный мониторинг, слабую степень мониторинга. Также, учитывая рисунок 6, стоит отметить, что матричная структура носит характер слабой матрицы, данный факт объясняется недостаточностью у руководителей проектов больших прав и полномочий.</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примеру, рассмотрим реализацию проекта жилого дома по улице Петухова, с установленным сроком - 12 месяцев.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завершения фазы концепции и формирования Команды проекта по установленному типу в Компании Администратором производственного отдела, был составлен календарный план работ.</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проведенного предварительного финансового анализа проекта, Администратор финансового отдела составил бюджет доходов и расходов.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Календарный план планируемых работ</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5"/>
        <w:gridCol w:w="1701"/>
        <w:gridCol w:w="850"/>
        <w:gridCol w:w="851"/>
        <w:gridCol w:w="992"/>
        <w:gridCol w:w="1031"/>
        <w:gridCol w:w="1073"/>
      </w:tblGrid>
      <w:tr w:rsidR="00BC46F9">
        <w:trPr>
          <w:jc w:val="center"/>
        </w:trPr>
        <w:tc>
          <w:tcPr>
            <w:tcW w:w="198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объекта</w:t>
            </w:r>
          </w:p>
        </w:tc>
        <w:tc>
          <w:tcPr>
            <w:tcW w:w="170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c>
          <w:tcPr>
            <w:tcW w:w="4797" w:type="dxa"/>
            <w:gridSpan w:val="5"/>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Нормы продолжительности строительства, мес.</w:t>
            </w:r>
          </w:p>
        </w:tc>
      </w:tr>
      <w:tr w:rsidR="00BC46F9">
        <w:trPr>
          <w:jc w:val="center"/>
        </w:trPr>
        <w:tc>
          <w:tcPr>
            <w:tcW w:w="198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w:t>
            </w:r>
          </w:p>
        </w:tc>
        <w:tc>
          <w:tcPr>
            <w:tcW w:w="3947" w:type="dxa"/>
            <w:gridSpan w:val="4"/>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r>
      <w:tr w:rsidR="00BC46F9">
        <w:trPr>
          <w:jc w:val="center"/>
        </w:trPr>
        <w:tc>
          <w:tcPr>
            <w:tcW w:w="198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Подг. период</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подземная часть</w:t>
            </w:r>
          </w:p>
        </w:tc>
        <w:tc>
          <w:tcPr>
            <w:tcW w:w="103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надземная часть</w:t>
            </w:r>
          </w:p>
        </w:tc>
        <w:tc>
          <w:tcPr>
            <w:tcW w:w="107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отделка</w:t>
            </w:r>
          </w:p>
        </w:tc>
      </w:tr>
      <w:tr w:rsidR="00BC46F9">
        <w:trPr>
          <w:jc w:val="center"/>
        </w:trPr>
        <w:tc>
          <w:tcPr>
            <w:tcW w:w="198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10-ти этажное жилое здание</w:t>
            </w:r>
          </w:p>
        </w:tc>
        <w:tc>
          <w:tcPr>
            <w:tcW w:w="170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площадь</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103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107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r>
      <w:tr w:rsidR="00BC46F9">
        <w:trPr>
          <w:jc w:val="center"/>
        </w:trPr>
        <w:tc>
          <w:tcPr>
            <w:tcW w:w="198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8300</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03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07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bl>
    <w:p w:rsidR="00BC46F9" w:rsidRDefault="00BC46F9">
      <w:pPr>
        <w:widowControl w:val="0"/>
        <w:autoSpaceDE w:val="0"/>
        <w:autoSpaceDN w:val="0"/>
        <w:adjustRightInd w:val="0"/>
        <w:rPr>
          <w:rFonts w:ascii="Times New Roman CYR" w:hAnsi="Times New Roman CYR" w:cs="Times New Roman CYR"/>
          <w:sz w:val="28"/>
          <w:szCs w:val="28"/>
        </w:rPr>
      </w:pPr>
    </w:p>
    <w:p w:rsidR="00BC46F9" w:rsidRDefault="00BC46F9">
      <w:pPr>
        <w:keepNext/>
        <w:widowControl w:val="0"/>
        <w:autoSpaceDE w:val="0"/>
        <w:autoSpaceDN w:val="0"/>
        <w:adjustRightInd w:val="0"/>
        <w:spacing w:after="0" w:line="360" w:lineRule="auto"/>
        <w:ind w:firstLine="709"/>
        <w:jc w:val="both"/>
        <w:rPr>
          <w:rFonts w:ascii="Times New Roman CYR" w:hAnsi="Times New Roman CYR" w:cs="Times New Roman CYR"/>
          <w:b/>
          <w:bCs/>
          <w:color w:val="000000"/>
          <w:kern w:val="32"/>
          <w:sz w:val="28"/>
          <w:szCs w:val="28"/>
        </w:rPr>
      </w:pPr>
      <w:r>
        <w:rPr>
          <w:rFonts w:ascii="Times New Roman CYR" w:hAnsi="Times New Roman CYR" w:cs="Times New Roman CYR"/>
          <w:color w:val="000000"/>
          <w:kern w:val="32"/>
          <w:sz w:val="28"/>
          <w:szCs w:val="28"/>
        </w:rPr>
        <w:t>3-х подъездный 10-ти этажный дом по улице Петухова, тип жилья - социальное, экономичное жилье. Конструкция дома - сборный железобетон, заполнение в кирпиче.</w:t>
      </w:r>
    </w:p>
    <w:p w:rsidR="00BC46F9" w:rsidRDefault="00BC46F9">
      <w:pPr>
        <w:widowControl w:val="0"/>
        <w:tabs>
          <w:tab w:val="left" w:pos="51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Площадь участка - 0,6269 га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Общая площадь дома - 8300 кв.м.</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Общая площадь квартир -7 300 кв.м.</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Доля расселения - 800 кв.м.</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Продаваемая площадь квартир - 6 500 кв.м.</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Продаваемая площадь магазина - 1000 кв.м.</w:t>
      </w:r>
    </w:p>
    <w:p w:rsidR="00BC46F9" w:rsidRDefault="00BC46F9">
      <w:pPr>
        <w:widowControl w:val="0"/>
        <w:tabs>
          <w:tab w:val="left" w:pos="51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Потребная мощность электроэнергии - 298 кВт.</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Трудоемкость строительно-монтажных работ - 41234 чел/дней.</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Продолжительность строительства - 12 месяцев.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Наличие документов по данной площадке:</w:t>
      </w:r>
    </w:p>
    <w:p w:rsidR="00BC46F9" w:rsidRDefault="00BC46F9">
      <w:pPr>
        <w:widowControl w:val="0"/>
        <w:tabs>
          <w:tab w:val="left" w:pos="100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Распоряжение мэра о предварительном согласовании № 7681-р от 30.09.2013 г.</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Кадастровый план земельного участка № 35/06-5749 от 04.05.2014 г.</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Распоряжение мэра о предоставлении в аренду земельного участка № 10171-р от 19.12.2013 г.</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Договор аренды земельного участка.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Площадка свободна от застройки.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Плановый объем затрат проекта составил 9500млн.руб.</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 текущих затрат по проекту по улице Петухова представлен в Приложении 1.</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Фактически понесенные затраты по проекту по ул. Петухова представлены в табл. 7.</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9. Расчет плановых затрат по проекту по ул. Петухова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04"/>
        <w:gridCol w:w="1430"/>
      </w:tblGrid>
      <w:tr w:rsidR="00BC46F9">
        <w:trPr>
          <w:jc w:val="center"/>
        </w:trPr>
        <w:tc>
          <w:tcPr>
            <w:tcW w:w="730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Выполненная задача</w:t>
            </w:r>
          </w:p>
        </w:tc>
        <w:tc>
          <w:tcPr>
            <w:tcW w:w="143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 млн. руб.</w:t>
            </w:r>
          </w:p>
        </w:tc>
      </w:tr>
      <w:tr w:rsidR="00BC46F9">
        <w:trPr>
          <w:jc w:val="center"/>
        </w:trPr>
        <w:tc>
          <w:tcPr>
            <w:tcW w:w="730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эскизного проекта строительства многоэтажного дома по ул. Петухова</w:t>
            </w:r>
          </w:p>
        </w:tc>
        <w:tc>
          <w:tcPr>
            <w:tcW w:w="143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r w:rsidR="00BC46F9">
        <w:trPr>
          <w:jc w:val="center"/>
        </w:trPr>
        <w:tc>
          <w:tcPr>
            <w:tcW w:w="730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Получение топоосновы земельного участка</w:t>
            </w:r>
          </w:p>
        </w:tc>
        <w:tc>
          <w:tcPr>
            <w:tcW w:w="143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42, 8</w:t>
            </w:r>
          </w:p>
        </w:tc>
      </w:tr>
      <w:tr w:rsidR="00BC46F9">
        <w:trPr>
          <w:jc w:val="center"/>
        </w:trPr>
        <w:tc>
          <w:tcPr>
            <w:tcW w:w="730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рабочего проекта строительства объекта АР, Генеральный план, инжен. системы без ИТП, Расчёт КЕО, Энергоэффективность, расчёт нагрузок на тепло и электроснабжение, осуществляемые услугами сторонней организации.</w:t>
            </w:r>
          </w:p>
        </w:tc>
        <w:tc>
          <w:tcPr>
            <w:tcW w:w="143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3127, 1 </w:t>
            </w:r>
          </w:p>
        </w:tc>
      </w:tr>
      <w:tr w:rsidR="00BC46F9">
        <w:trPr>
          <w:jc w:val="center"/>
        </w:trPr>
        <w:tc>
          <w:tcPr>
            <w:tcW w:w="730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конструктивной части рабочего проекта с СИАСК</w:t>
            </w:r>
          </w:p>
        </w:tc>
        <w:tc>
          <w:tcPr>
            <w:tcW w:w="143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BC46F9">
        <w:trPr>
          <w:jc w:val="center"/>
        </w:trPr>
        <w:tc>
          <w:tcPr>
            <w:tcW w:w="730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Осуществление арендной платы за земельный участок по договору №51006 за период действия договора (19.02.2013 до 19.02.2017 г.)</w:t>
            </w:r>
          </w:p>
        </w:tc>
        <w:tc>
          <w:tcPr>
            <w:tcW w:w="143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6 207</w:t>
            </w:r>
          </w:p>
        </w:tc>
      </w:tr>
      <w:tr w:rsidR="00BC46F9">
        <w:trPr>
          <w:jc w:val="center"/>
        </w:trPr>
        <w:tc>
          <w:tcPr>
            <w:tcW w:w="730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факт. затраты, понесенные комп. с момента начала реализации проекта:</w:t>
            </w:r>
          </w:p>
        </w:tc>
        <w:tc>
          <w:tcPr>
            <w:tcW w:w="143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9491, 9</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 текущих затрат по проекту по улице Петухова представлен в приложении 1 . Рассчитаны следующие показатели:</w:t>
      </w:r>
    </w:p>
    <w:p w:rsidR="00BC46F9" w:rsidRDefault="00BC46F9">
      <w:pPr>
        <w:widowControl w:val="0"/>
        <w:tabs>
          <w:tab w:val="left" w:pos="114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ab/>
      </w:r>
      <w:r>
        <w:rPr>
          <w:rFonts w:ascii="Times New Roman CYR" w:hAnsi="Times New Roman CYR" w:cs="Times New Roman CYR"/>
          <w:color w:val="000000"/>
          <w:sz w:val="28"/>
          <w:szCs w:val="28"/>
        </w:rPr>
        <w:t>сумма затрат, необходимых для покупки земли (Площадь участка, умноженная на стоимость га участка);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ab/>
      </w:r>
      <w:r>
        <w:rPr>
          <w:rFonts w:ascii="Times New Roman CYR" w:hAnsi="Times New Roman CYR" w:cs="Times New Roman CYR"/>
          <w:color w:val="000000"/>
          <w:sz w:val="28"/>
          <w:szCs w:val="28"/>
        </w:rPr>
        <w:t>затраты на тепло;</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ab/>
      </w:r>
      <w:r>
        <w:rPr>
          <w:rFonts w:ascii="Times New Roman CYR" w:hAnsi="Times New Roman CYR" w:cs="Times New Roman CYR"/>
          <w:color w:val="000000"/>
          <w:sz w:val="28"/>
          <w:szCs w:val="28"/>
        </w:rPr>
        <w:t>затраты на покупку электромощностей (потребная установочная мощность, умноженная на стоимость 1КВт);</w:t>
      </w:r>
    </w:p>
    <w:p w:rsidR="00BC46F9" w:rsidRDefault="00BC46F9">
      <w:pPr>
        <w:widowControl w:val="0"/>
        <w:tabs>
          <w:tab w:val="left" w:pos="114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ab/>
      </w:r>
      <w:r>
        <w:rPr>
          <w:rFonts w:ascii="Times New Roman CYR" w:hAnsi="Times New Roman CYR" w:cs="Times New Roman CYR"/>
          <w:color w:val="000000"/>
          <w:sz w:val="28"/>
          <w:szCs w:val="28"/>
        </w:rPr>
        <w:t>затраты на проектные работы (стоимость создания проекта, умноженная на общую площадь).</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Данные затраты не относятся непосредственно к производству, но существенно влияют на конечную себестоимость.</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приложении 2 рассчитаны следующие показатели:</w:t>
      </w:r>
    </w:p>
    <w:p w:rsidR="00BC46F9" w:rsidRDefault="00BC46F9">
      <w:pPr>
        <w:widowControl w:val="0"/>
        <w:tabs>
          <w:tab w:val="left" w:pos="1233"/>
          <w:tab w:val="left" w:pos="156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доход от продажи жилой площади дома (Общая площадь квартир, </w:t>
      </w:r>
      <w:r>
        <w:rPr>
          <w:rFonts w:ascii="Times New Roman CYR" w:hAnsi="Times New Roman CYR" w:cs="Times New Roman CYR"/>
          <w:color w:val="000000"/>
          <w:sz w:val="28"/>
          <w:szCs w:val="28"/>
        </w:rPr>
        <w:lastRenderedPageBreak/>
        <w:t>умноженная на стоимость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жилой площади квартир);</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доход от продажи нежилой площади дома (Общая площадь нежилых помещений, умноженная на стоимость 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нежилой площади помещений);</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затраты с учетом инфляции (Сумма затрат с учетом инфляции за 18 месяцев);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прибыль после уплаты налогов (Прибыль с учетом налога на прибыль, 24%);</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рентабельность данного проекта (Отношение прибыли после уплаты налогов к затратам с учетом инфляции) показывает сколько копеек прибыли приходится на каждый вложенный рубль [4].</w:t>
      </w:r>
    </w:p>
    <w:p w:rsidR="00BC46F9" w:rsidRDefault="00BC46F9">
      <w:pPr>
        <w:widowControl w:val="0"/>
        <w:tabs>
          <w:tab w:val="left" w:pos="156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Прибыль после уплаты налогов составит примерно 89,4 миллиона рублей при рентабельности почти в 43 процента.</w:t>
      </w:r>
    </w:p>
    <w:p w:rsidR="00BC46F9" w:rsidRDefault="00BC46F9">
      <w:pPr>
        <w:widowControl w:val="0"/>
        <w:tabs>
          <w:tab w:val="left" w:pos="156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данных расчетах был произведен сбор данных по рынку строительных услуг, которые были использованы в оценке затратной части проекта, был произведен подсчет суммы для уплаты налогов и на основании анализа рынка строительных услуг была сформирована стоимость одного квадратного метра жилья, которая использовалась в расчетах.</w:t>
      </w:r>
      <w:r>
        <w:rPr>
          <w:rFonts w:ascii="Times New Roman CYR" w:hAnsi="Times New Roman CYR" w:cs="Times New Roman CYR"/>
          <w:sz w:val="28"/>
          <w:szCs w:val="28"/>
        </w:rPr>
        <w:t xml:space="preserve"> </w:t>
      </w:r>
      <w:r>
        <w:rPr>
          <w:rFonts w:ascii="Times New Roman CYR" w:hAnsi="Times New Roman CYR" w:cs="Times New Roman CYR"/>
          <w:color w:val="000000"/>
          <w:sz w:val="28"/>
          <w:szCs w:val="28"/>
        </w:rPr>
        <w:t>Изначальный расчет экономической эффективности выполненного проекта по ул. Петухова отображает Приложение 2.</w:t>
      </w:r>
    </w:p>
    <w:p w:rsidR="00BC46F9" w:rsidRDefault="00BC46F9">
      <w:pPr>
        <w:widowControl w:val="0"/>
        <w:tabs>
          <w:tab w:val="left" w:pos="156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Однако, из-за слабого мониторинга особенностей местности и недостатка контроля со стороны руководителя проекта по ул. Петухова и отсутствия дополнительного контролирующего звена, уже в ходе реализации мероприятий была выявлена частичная заболоченность площади планируемой застройки, что привело к дополнительным затратам на устранение данных факторов расходов по освоению заболоченных участков на сумму 1536 млн.руб.и увеличению продолжительности застройки, в связи с неотлаженной структурой управления ресурсным снабжением, а значит неоперативной поставкой внеплановых ТМЦ. </w:t>
      </w:r>
      <w:r>
        <w:rPr>
          <w:rFonts w:ascii="Times New Roman CYR" w:hAnsi="Times New Roman CYR" w:cs="Times New Roman CYR"/>
          <w:color w:val="000000"/>
          <w:sz w:val="28"/>
          <w:szCs w:val="28"/>
        </w:rPr>
        <w:lastRenderedPageBreak/>
        <w:t>Увеличение продолжительности застройки на 1 месяц, привело к отставанию установленных и прописанных договором сроков сдачи объекта и наложению штрафных санкций в сумме 4 млн. рублей.</w:t>
      </w:r>
    </w:p>
    <w:p w:rsidR="00BC46F9" w:rsidRDefault="00BC46F9">
      <w:pPr>
        <w:widowControl w:val="0"/>
        <w:tabs>
          <w:tab w:val="left" w:pos="156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Соответственно, Компания понесла внеплановые убытки в сумме 4,536млн. руб. из-за неэффективной работы Команды управления проектом.</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Желание Генерального директора сэкономить средства путем сокращения Аппарата управления команды инвестиционно-строительных проектов, влечет за собой риски отставания по срокам сдачи объектов, снижение показателей качества выполняемых работ и как следствие того финансовые потери. Данный фактор объясняется тем, что управленческий состав является основой для эффективного достижения целей по реализации проектных мероприятий, в которых заинтересованной стороной является как Внутренний заказчик, в лице самого Генерального директора, так и Внешний, в лице сторонней организации. Отставания по срокам реализации проектов и сниженные показателей качества чреваты для Компании реализатора проектов наложением штрафных санкций за нарушение обязательств договора, а также падением репутации, что в дальнейшем сказывается на количестве поступаемых заказов. Так потеря репутации Компании подрывает уровень конкурентоспособности и может привести к банкротству, в случае предпочтения Внешними заказчиками услуг конкурентных организаций.</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данной Главы была дана общая характеристика ООО «Новоуральская промышленная компания» основным видом деятельности которой является возведение, капитальный ремонт и техническое перевооружение резервуарных парков по заказу дочерних предприятий АК «Транснефть».</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Начиная с 2009 года, организационная структура компании носит линейно-функциональный вид с элементами проектной. Ко всем отделам вместо </w:t>
      </w:r>
      <w:r>
        <w:rPr>
          <w:rFonts w:ascii="Times New Roman CYR" w:hAnsi="Times New Roman CYR" w:cs="Times New Roman CYR"/>
          <w:sz w:val="28"/>
          <w:szCs w:val="28"/>
        </w:rPr>
        <w:lastRenderedPageBreak/>
        <w:t>отдела по строительству добавился департамент по строительству. Данный отдел является постоянным. Предназначен для выполнения функции по строительству объектов и рассмотрению проектных инициатив.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инвестиционному плану ООО «Новоуральская промышленная компания» предполагает проведение комплекса мероприятий по строительству парковачного комплекса по ул. Коминтерна в Дзержинском районе г. Новосибирска, а также трех жилых домов (социальной направленности) в Дзержинском и Кировском районах г. Новосибирска, с последующей реализацией построенных площадей.</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запланированных мероприятий, инициатором которых стал сотрудник Департамента по строительству ООО «Новоуральская промышленная компания, после завершения фазы концепции и утверждения реализации вышеизложенных заказов, поступило распоряжение высшего руководства о создании Команды инвестиционно-строительных проектов. Однако, оценка структуры Команды управления проектами показала, что в данном виде она имеет ряд существенных недостатков, к которым относится нехватка функциональных отделов, возглавляемых управленческими кадрами, отсутствие единого Руководителя программы, недостаточный мониторинг, слабая степень контроля, а матричная организация носит характер слабой матрицы. Неэффективность действующей Команды управления наглядно обоснована в представленном примере реализации проекта по ул. Петухова.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 Совершенствование управления проектами ООО «Новоуральская промышленная компания»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Предложения по совершенствованию управления проектами ООО «Новоуральская промышленная компания»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проведенной оценки эффективности Команды управления инвестиционно-строительными проектами исследуемой Компании, была выявлена крайне слабая степень организации управленческих мощностей, что влечет за собой задержки сроков сдачи объектов, снижение качества выполняемых работ, понижение конкурентоспособности, и как следствие того, крупные финансовые потери.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для организации ООО «Новоуральская промышленная компания» необходимо внедрение единой корпоративной системы управления проектами (далее КСУП) представляющую собой комплексные методические, административные и информационные средства, позволяющие организовать и поддерживать процессы управления проектами в компании.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система позволяет:</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создать сбалансированный портфель проектов, который имеет ориентир на стратегические цели Новоуральской промышленной компании;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 исследовать процесс реализации портфеля проектов и своевременно обнаруживать возможные отклонения от поставленной цели и вносить корректировки;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обозревать единую область исполнения всех проектов;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осуществлять контроль по достижению стратегических целей Компании;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проверять и координировать пользование ресурсной базой компании;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проводить контроль сроков исполнения проектов;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держать под контролем бюджеты проектов;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ревизовать общий ход проекта в ключевых точках;</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вовремя проводить аудит проектов и проектной деятельности и своевременно вносить корректировки.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256C69">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5314950" cy="2047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2047875"/>
                    </a:xfrm>
                    <a:prstGeom prst="rect">
                      <a:avLst/>
                    </a:prstGeom>
                    <a:noFill/>
                    <a:ln>
                      <a:noFill/>
                    </a:ln>
                  </pic:spPr>
                </pic:pic>
              </a:graphicData>
            </a:graphic>
          </wp:inline>
        </w:drawing>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7. Автоматизированное управление жизненным циклом проекта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этапами создания и внедрения единой корпоративной системы управления следует обозначить:</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целостной методологии управления проектами;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Коллегиального органа управления проектной деятельностью;</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ролевой структуры проектной деятельности, с распределением полномочий и степени ответственности каждого участника;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информационной системы управления проектами (ИСУП).</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рекомендуется внедрить в штат Компании специальное подразделение - Коллегиальный орган управления проектной деятельностью, выполняющий функции Офиса Управления Проектами, где задачами Руководства Коллегиального органа являются:</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целей Управления инвестиционно-строительных проектов по средствам грамотной разработки, внедрения и исполнения разнообразных </w:t>
      </w:r>
      <w:r>
        <w:rPr>
          <w:rFonts w:ascii="Times New Roman CYR" w:hAnsi="Times New Roman CYR" w:cs="Times New Roman CYR"/>
          <w:sz w:val="28"/>
          <w:szCs w:val="28"/>
        </w:rPr>
        <w:lastRenderedPageBreak/>
        <w:t>заказных предложений застройки.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оптимизация инвестиционной деятельности через проектную деятельность.</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создания методологической базы, необходимо выработать:</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состав нормативных документов, целесообразно учредить Положение о КСУП, Положение о Коллегиальном органе управления проектами, Регламент КСУП.</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 организационным документам необходимо включить Ролевые инструкции для руководителей проектов и остальных участников проектной деятельности, должностные инструкции для сотрудников проектного офиса.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Разработать типовой набор шаблонов внутренней документации, включающий Проектный реестр, Приказ об утверждении проекта, Устав проекта, Отчетные документы и прочее.</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классификационные характеристики проектов (включая их критерии).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Продумать документы по интеграции КСУП в соответствии с прочими управленческими системами (включая соответствие параметрам управленческого учета).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"Новоуральская промышленная компания" рекомендуется внедрение Программного комплекса “BUILDING MANAGER”, который относится к программам проектного менеджмента или программ для управления проектами.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Предназначен он для использования менеджерами строительных фирм и фирм заказчиков при подготовке и сопровождении строительства, ремонта, реконструкции. “BUILDING MANAGER” позволяет компьютерным проектированием создать:</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сбалансированные по ресурсам календарные планы любых строительных </w:t>
      </w:r>
      <w:r>
        <w:rPr>
          <w:rFonts w:ascii="Times New Roman CYR" w:hAnsi="Times New Roman CYR" w:cs="Times New Roman CYR"/>
          <w:sz w:val="28"/>
          <w:szCs w:val="28"/>
        </w:rPr>
        <w:lastRenderedPageBreak/>
        <w:t>объектов, в том числе сводные на более чем 200 объектов для строительной организации любой мощности и специализации;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графики поставки ресурсов, в том числе финансирования;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графики использования исполнителей, техники и оснастки.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 позволяет также вести оперативный учет:</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финансирования и расходования денежных средств;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поставок материалов и оборудования;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выполнения объемов работ и учитывать их в корректировке планов.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интеграции с технологической линией проектирования впервые удалось решить задачу 3-D отображения объекта строительства на любой день календарного плана.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технология функционирования “BUILDING MANAGER” и его интеграция с программами технологической линии проектирования (ArchiCad, Мономах, Лира, Арамис, Электра, Калипсо и др.), программами для сметных расчетов по методике ДБН (Строительные технологии - СМЕТА) и программами бухучета (1С) позволяет полностью автоматизировать все информационные потоки проектно-строительной фирмы любого профиля.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реализованным в программном комплексе “know-how” “BUILDING MANAGER” значительно превышает уровень импортных программных комплексов этого направления.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“BUILDING MANAGER” обеспечивает передачу данных в наиболее распространенные на Западе и в России программы для управления проектами: “MsProject”, “Project2000”, “P3”, “PS8”, “Спайдер”.</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практическое отображение предложенной концепции совершенствования управления проектами ООО «Новоуральская промышленная компания».</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Приказом Генерального директора Компании создан Коллегиальный орган </w:t>
      </w:r>
      <w:r>
        <w:rPr>
          <w:rFonts w:ascii="Times New Roman CYR" w:hAnsi="Times New Roman CYR" w:cs="Times New Roman CYR"/>
          <w:sz w:val="28"/>
          <w:szCs w:val="28"/>
        </w:rPr>
        <w:lastRenderedPageBreak/>
        <w:t>управления проектной деятельностью, созданный с целью организации процессов управления, эффективного взаимодействия сотрудников, выработки проектных решений, с последующим их согласованием, внедрения принятых решений, контроля исполнения принятых решений, а также информационного обмена.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Коллегиальный исполнительный орган, именуемый проектным комитетом, включает в себя высшее руководство, в лице председателя - на данную должность назначен заместитель генерального директора Компании, а заместителем председателя стал Главный инженер.</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постоянного членства входят Высшие руководители функциональных направлений Компании, утвержденный приказом Генерального директора.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обязанности комитета входят:</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координация взаимодействия структурных подразделений в области реализации проектов;</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и согласование/утверждение документации по управлению проектом;</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ходом реализации портфеля проектов ООО «Новоуральская промышленная компания»;</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координация производственной политики организации, выработка корректирующих мероприятий;</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приоритетных курсов в реализации проектов.</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полномочия Комитета входят его протоколированные решения в сфере проектного управления, утвержденные Генеральным директором, и являются безоговорочными по исполнению во всех структурных подразделениях Компании.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управления в процессах инвестиционного строительства </w:t>
      </w:r>
      <w:r>
        <w:rPr>
          <w:rFonts w:ascii="Times New Roman CYR" w:hAnsi="Times New Roman CYR" w:cs="Times New Roman CYR"/>
          <w:sz w:val="28"/>
          <w:szCs w:val="28"/>
        </w:rPr>
        <w:lastRenderedPageBreak/>
        <w:t>выступает проект, подразумевающий определенную последовательность действий носящих временный характер, целенаправленных на создание исключительного продукта или услуги в условиях ограниченности ресурсной базы, в соответствии с принятой в Компании классификацией, в зависимости от вида проекта, его стоимости и трудоемкости процесса. Типы определения проекта представлены в таблице 10.</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shd w:val="clear" w:color="auto" w:fill="FFFFFF"/>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10. Виды проектовООО «Новоуральская промышленная компания»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3"/>
        <w:gridCol w:w="8094"/>
      </w:tblGrid>
      <w:tr w:rsidR="00BC46F9">
        <w:trPr>
          <w:jc w:val="center"/>
        </w:trPr>
        <w:tc>
          <w:tcPr>
            <w:tcW w:w="340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Классификационный признака</w:t>
            </w:r>
          </w:p>
        </w:tc>
        <w:tc>
          <w:tcPr>
            <w:tcW w:w="809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Значения</w:t>
            </w:r>
          </w:p>
        </w:tc>
      </w:tr>
      <w:tr w:rsidR="00BC46F9">
        <w:trPr>
          <w:jc w:val="center"/>
        </w:trPr>
        <w:tc>
          <w:tcPr>
            <w:tcW w:w="340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Тип проекта (вид деятельности)</w:t>
            </w:r>
          </w:p>
        </w:tc>
        <w:tc>
          <w:tcPr>
            <w:tcW w:w="809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Контрактный проект: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ПИР;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СМР;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ПИР + СМР;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Консалтинговый (в перспективе)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Проект внутреннего развития</w:t>
            </w:r>
          </w:p>
        </w:tc>
      </w:tr>
      <w:tr w:rsidR="00BC46F9">
        <w:trPr>
          <w:jc w:val="center"/>
        </w:trPr>
        <w:tc>
          <w:tcPr>
            <w:tcW w:w="340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проекта</w:t>
            </w:r>
          </w:p>
        </w:tc>
        <w:tc>
          <w:tcPr>
            <w:tcW w:w="809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Wingdings" w:hAnsi="Wingdings" w:cs="Wingdings"/>
                <w:sz w:val="20"/>
                <w:szCs w:val="20"/>
              </w:rPr>
              <w:t></w:t>
            </w:r>
            <w:r>
              <w:rPr>
                <w:rFonts w:ascii="Wingdings" w:hAnsi="Wingdings" w:cs="Wingdings"/>
                <w:sz w:val="20"/>
                <w:szCs w:val="20"/>
              </w:rPr>
              <w:t></w:t>
            </w:r>
            <w:r>
              <w:rPr>
                <w:rFonts w:ascii="Times New Roman CYR" w:hAnsi="Times New Roman CYR" w:cs="Times New Roman CYR"/>
                <w:sz w:val="20"/>
                <w:szCs w:val="20"/>
              </w:rPr>
              <w:t xml:space="preserve">Низкая стоимость (до 5 млн. руб. с НДС) </w:t>
            </w:r>
            <w:r>
              <w:rPr>
                <w:rFonts w:ascii="Wingdings" w:hAnsi="Wingdings" w:cs="Wingdings"/>
                <w:sz w:val="20"/>
                <w:szCs w:val="20"/>
              </w:rPr>
              <w:t></w:t>
            </w:r>
            <w:r>
              <w:rPr>
                <w:rFonts w:ascii="Wingdings" w:hAnsi="Wingdings" w:cs="Wingdings"/>
                <w:sz w:val="20"/>
                <w:szCs w:val="20"/>
              </w:rPr>
              <w:t></w:t>
            </w:r>
            <w:r>
              <w:rPr>
                <w:rFonts w:ascii="Times New Roman CYR" w:hAnsi="Times New Roman CYR" w:cs="Times New Roman CYR"/>
                <w:sz w:val="20"/>
                <w:szCs w:val="20"/>
              </w:rPr>
              <w:t xml:space="preserve">Средняя стоимость (от 5 до 20 млн. руб. с НДС) </w:t>
            </w:r>
            <w:r>
              <w:rPr>
                <w:rFonts w:ascii="Wingdings" w:hAnsi="Wingdings" w:cs="Wingdings"/>
                <w:sz w:val="20"/>
                <w:szCs w:val="20"/>
              </w:rPr>
              <w:t></w:t>
            </w:r>
            <w:r>
              <w:rPr>
                <w:rFonts w:ascii="Wingdings" w:hAnsi="Wingdings" w:cs="Wingdings"/>
                <w:sz w:val="20"/>
                <w:szCs w:val="20"/>
              </w:rPr>
              <w:t></w:t>
            </w:r>
            <w:r>
              <w:rPr>
                <w:rFonts w:ascii="Times New Roman CYR" w:hAnsi="Times New Roman CYR" w:cs="Times New Roman CYR"/>
                <w:sz w:val="20"/>
                <w:szCs w:val="20"/>
              </w:rPr>
              <w:t>Высокая стоимость (более 20 млн. руб. с НДС)</w:t>
            </w:r>
          </w:p>
        </w:tc>
      </w:tr>
      <w:tr w:rsidR="00BC46F9">
        <w:trPr>
          <w:jc w:val="center"/>
        </w:trPr>
        <w:tc>
          <w:tcPr>
            <w:tcW w:w="340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Сложность, степень новизны проекта</w:t>
            </w:r>
          </w:p>
        </w:tc>
        <w:tc>
          <w:tcPr>
            <w:tcW w:w="809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Wingdings" w:hAnsi="Wingdings" w:cs="Wingdings"/>
                <w:sz w:val="20"/>
                <w:szCs w:val="20"/>
              </w:rPr>
              <w:t></w:t>
            </w:r>
            <w:r>
              <w:rPr>
                <w:rFonts w:ascii="Wingdings" w:hAnsi="Wingdings" w:cs="Wingdings"/>
                <w:sz w:val="20"/>
                <w:szCs w:val="20"/>
              </w:rPr>
              <w:t></w:t>
            </w:r>
            <w:r>
              <w:rPr>
                <w:rFonts w:ascii="Times New Roman CYR" w:hAnsi="Times New Roman CYR" w:cs="Times New Roman CYR"/>
                <w:sz w:val="20"/>
                <w:szCs w:val="20"/>
              </w:rPr>
              <w:t xml:space="preserve">Трад. проекты (стандартный состав работ, накоплен богатый опыт анал. проектов) </w:t>
            </w:r>
            <w:r>
              <w:rPr>
                <w:rFonts w:ascii="Wingdings" w:hAnsi="Wingdings" w:cs="Wingdings"/>
                <w:sz w:val="20"/>
                <w:szCs w:val="20"/>
              </w:rPr>
              <w:t></w:t>
            </w:r>
            <w:r>
              <w:rPr>
                <w:rFonts w:ascii="Wingdings" w:hAnsi="Wingdings" w:cs="Wingdings"/>
                <w:sz w:val="20"/>
                <w:szCs w:val="20"/>
              </w:rPr>
              <w:t></w:t>
            </w:r>
            <w:r>
              <w:rPr>
                <w:rFonts w:ascii="Times New Roman CYR" w:hAnsi="Times New Roman CYR" w:cs="Times New Roman CYR"/>
                <w:sz w:val="20"/>
                <w:szCs w:val="20"/>
              </w:rPr>
              <w:t>Нетрадиционные проекты (опыт аналогичных проектов отсутствует или недостаточен; разнородные, специфичные работы по нескольким направлениям; несвой. виды работ с необходимостью привлечения внешних экспертов; несколько подрядчиков)</w:t>
            </w:r>
          </w:p>
        </w:tc>
      </w:tr>
    </w:tbl>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структура организационно и распределения ролей управления портфелем проектов, согласно созданной корпоративной системы имеет следующий вид, изображенный на рисунке 9.</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256C6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lastRenderedPageBreak/>
        <w:drawing>
          <wp:inline distT="0" distB="0" distL="0" distR="0">
            <wp:extent cx="5000625" cy="2705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625" cy="2705100"/>
                    </a:xfrm>
                    <a:prstGeom prst="rect">
                      <a:avLst/>
                    </a:prstGeom>
                    <a:noFill/>
                    <a:ln>
                      <a:noFill/>
                    </a:ln>
                  </pic:spPr>
                </pic:pic>
              </a:graphicData>
            </a:graphic>
          </wp:inline>
        </w:drawing>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8.Организационно-ролевая структура управления портфелем проектов</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Полный перечень участников процесса управления проектом ООО «Новоуральская промышленная компания» составлен в Приложении 5.</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поступления проектного Заказа от Внешнего заказчика, являющегося сторонней организацией, Главой организационной структуры Управления портфелем проектов, как Внутреннего Заказчика проекта, в лице Генерального директора, утверждается Приказ проекта, устав, график финансирования и осуществляется дальнейший надзор и анализ результатов проектной деятельности. В прямом подчинении Генерального директора ООО «Новоуральская промышленная компания» находятся Руководитель проектного офиса, Руководители функциональных подразделений и Проектный комитет.</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ответственностью Проектного комитета лежит надлежащий контроль сроков, бюджета и качества исполнения портфеля и программы проектов.</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его функции входят коллегиальное принятие решений по портфелю и программам проектов и итоговый анализ результатов выполнения программ и портфелей проектов. Проектный комитет подготавливает решения с согласованием Внутреннего заказчика, вносит необходимые изменения в проект.</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Руководитель проектного офиса обязан обучить руководителей и администраторов проектов, членов команды проекта, обеспечить качество работы проектного комитета и повышать качество работы администраторов проекта. Функциональное предназначение данного Руководителя заключается в контроле исполнения процессов управления проектами (УП) и исполнения решений проектного комитета, развитии методологии УП, обеспечении функционирования проектного офиса, формировании аналитических отчетов о состоянии портфеля проектов.</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функциональных подразделений обеспечивают контроль и регулирование организационных аспектов в разрезе каждого подразделения.</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Наглядное представление по уровням принятия решений о внесении изменений на фазе реализации изображает Приложение 9.</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Рекомендуемую структуру конкретного проекта целесообразно организовать подобно отображению на рисунке 9.</w:t>
      </w:r>
    </w:p>
    <w:p w:rsidR="00BC46F9" w:rsidRDefault="00BC46F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BC46F9" w:rsidRDefault="00256C6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990975" cy="2933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0975" cy="2933700"/>
                    </a:xfrm>
                    <a:prstGeom prst="rect">
                      <a:avLst/>
                    </a:prstGeom>
                    <a:noFill/>
                    <a:ln>
                      <a:noFill/>
                    </a:ln>
                  </pic:spPr>
                </pic:pic>
              </a:graphicData>
            </a:graphic>
          </wp:inline>
        </w:drawing>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Рис.9.Организационно-ролевая структура управления проектом</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отмечалось ранее, организация инвестиционно-строительных проектов, состоит Команды управления и функциональной команды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Команда управления проектом, в рамках предлагаемой структуры включает в себя куратора проекта, руководителя проекта, заместителя руководителя проекта и администратора, данные члены вовлечены в непосредственное исполнение процедур по управлению проектом.</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Команда проекта. Помимо команды управления проектом в данную организационную структуру входят главный предметный специалист, прочие функциональные специалисты и, при необходимости, представители подрядных организаций, в свою очередь члены команды проекта несут ответственность перед руководителем проекта за выполнение работ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проекта, основывается следующими параметрами при подборе Команды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работ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состава работ выполняется в процессе разработки календарного плана проекта в соответствии с правилами структурной </w:t>
      </w:r>
      <w:r>
        <w:rPr>
          <w:rFonts w:ascii="Times New Roman CYR" w:hAnsi="Times New Roman CYR" w:cs="Times New Roman CYR"/>
          <w:sz w:val="28"/>
          <w:szCs w:val="28"/>
        </w:rPr>
        <w:lastRenderedPageBreak/>
        <w:t>декомпозиции работ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матрицы ответственности по работам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каждой работе календарного плана определяются роли участников и степень их ответственности за выполнение данной работы. (Приложение)</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частных требований к ролевым компетенциям</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возникновении потребности в компетенциях, связанных с выполнением работ конкретного проекта, руководитель проекта определяет и формулирует эти требования.</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Подбор кандидатов в команду проекта по каждой роли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каждой роли в команде проекта проводится выбор кандидатов согласно порядку назначения участников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собеседования с сотрудниками - кандидатами в команду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Собеседования с сотрудниками - кандидатами в команду проекта проводятся руководителем проекта в индивидуальном порядке. По решению руководителя проекта собеседование с сотрудником может осуществляться после переговоров с руководителем сотрудника. В ходе проведения собеседования руководитель проекта предлагает сотруднику поучаствовать в проекте, разъясняет цели и задачи проекта, важность проекта для компании, предлагаемую роль и зону ответственности.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собеседования руководитель проекта получает от сотрудника решение о его участии в проекте.</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Переговоры с руководителями сотрудников - кандидатов в команду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собеседования с сотрудником об участии в проекте, руководитель проекта проводит переговоры с его функциональным руководителем.</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переговоров выявляется уровень текущей загрузки сотрудника, </w:t>
      </w:r>
      <w:r>
        <w:rPr>
          <w:rFonts w:ascii="Times New Roman CYR" w:hAnsi="Times New Roman CYR" w:cs="Times New Roman CYR"/>
          <w:sz w:val="28"/>
          <w:szCs w:val="28"/>
        </w:rPr>
        <w:lastRenderedPageBreak/>
        <w:t>возможность его загрузки в проекте и желание/нежелание руководителя выделить его в проект.</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невозможности привлечения конкретного сотрудника к проекту функциональный руководитель должен предложить адекватную альтернативную замену.</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возникновении трудностей в переговорах с функциональным руководителем по привлечению конкретного сотрудника, руководитель проекта вправе обратиться к куратору проекта для использования административного ресурса в решении вопроса.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к знаниям, навыкам и личным качествам основных членов команды проекта ООО «Новоуральская промышленная компания» отображает Приложение 6.</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Команда проекта перечисляется в Уставе проекта, согласовывается и утверждается в установленном порядке регламентом КСУП.</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после рассмотрения проектных инициатив, которые могут исходить от любого сотрудника Компании, наступает начальная фаза, т.е. разработка концепции проекта, подразумевающая предварительный анализ существующего состояния, определение потребностей в изменении проекта, выявление основных параметров и характеристик, целей и стратегии их достижения, задач и планируемых результатов, уровня риска, ресурсов, альтернативных направлений, и прочих мероприятий, а также утверждение концепции и её согласование.</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фазы концепции, когда уже принято решение о реализации проекта, Руководитель проекта, назначенный приказом Генерального директора на фазе Концепции проекта, готовит Устав проекта, в котором указываются все ожидаемые результаты от реализации проекта и формирует необходимую Команду для реализации проекта, поэтапно распределяя роли и ответственность </w:t>
      </w:r>
      <w:r>
        <w:rPr>
          <w:rFonts w:ascii="Times New Roman CYR" w:hAnsi="Times New Roman CYR" w:cs="Times New Roman CYR"/>
          <w:sz w:val="28"/>
          <w:szCs w:val="28"/>
        </w:rPr>
        <w:lastRenderedPageBreak/>
        <w:t>каждого члена команды. Цель формирования команды проекта Руководителем состоит в привлечении к проекту специалистов в составе, необходимом для успешной реализации проекта, в соответствии с уровнем компетенции.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команды проекта могут включаться как внутренние, так и привлекаемые внешние специалисты. Внешние специалисты привлекаются в проект на условиях подряда или трудового договора, иными словами сотрудники Компании - на условиях полной или частичной занятости.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привлечения сотрудников на условиях частичной занятости формируется матричная организационная структура, которая предполагает двойное подчинение сотрудника, то есть в период реализации проекта сотрудники, входящие в команду проекта, подчиняются как своему функциональному руководителю, так и руководителю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команды проекта проводится Руководителем в течение фазы разработки жизненного цикла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Составленный Устав подлежит согласованию Куратором проекта, назначаемым приказом Генерального директора, выступающего Внутренним заказчиком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Руководитель проекта выполняет функции по непосредственной разработке Устава и календарного плана проекта, формирует предложения по составу команды проекта, оперативно управляет проектом, занимается постановкой и контролем выполнения задач командой проекта, оперативно взаимодействует с Внешним Заказчиком (Генеральным директором Компании), подготавливает регулярную отчетность, мотивирует команду проекта. В полномочия данного Руководителя входит постановка задач членам команды проекта, функциональное перераспределение ресурсов проекта, необходимое внесение изменений в проект, оглашение предложений вышестоящим органам о внесении изменений в проект и их согласование, принятие мер по мотивации </w:t>
      </w:r>
      <w:r>
        <w:rPr>
          <w:rFonts w:ascii="Times New Roman CYR" w:hAnsi="Times New Roman CYR" w:cs="Times New Roman CYR"/>
          <w:sz w:val="28"/>
          <w:szCs w:val="28"/>
        </w:rPr>
        <w:lastRenderedPageBreak/>
        <w:t>команды в установленных рамках. Возлагаемая ответственность заключается в достижении запланированных результатов проекта, строгого соблюдения сроков выполнения работ согласно календарному плану и контроль за расходованием бюджетных средств проекта, качеством выполняемых работ</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работой подрядчиков, исполнением договорных условий, как с Внешним Заказчиком, так и подрядчиками.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Куратор проекта, назначается на фазе Концепции проекта Указом Генерального директора, в лице Заместителя директора осуществляет функции по принятию решений по стратегическим вопросам реализации проектов, формирует предложения по команде проекта, обеспечивает проект ресурсами, осуществляет общую поддержку проекта. В его компетенцию </w:t>
      </w:r>
      <w:r>
        <w:rPr>
          <w:rFonts w:ascii="Times New Roman CYR" w:hAnsi="Times New Roman CYR" w:cs="Times New Roman CYR"/>
          <w:sz w:val="28"/>
          <w:szCs w:val="28"/>
        </w:rPr>
        <w:tab/>
        <w:t>входит согласование предложений по составу команды проекта, внесение изменений в проект. Куратор несет ответственность за</w:t>
      </w:r>
      <w:r>
        <w:rPr>
          <w:rFonts w:ascii="Times New Roman CYR" w:hAnsi="Times New Roman CYR" w:cs="Times New Roman CYR"/>
          <w:sz w:val="28"/>
          <w:szCs w:val="28"/>
        </w:rPr>
        <w:tab/>
        <w:t>обеспеченность проекта всеми необходимыми ресурсами, должную степень контроля основных вех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Календарный план реализации проекта, подготавливается членом Команды, в лице инженера ПТО, он предоставляет на согласование члену команды из службы логистики. Член команды логистики несет ответственность за своевременную закупку и поставку на объект ТМЦ, после план идет на утверждение Руководителю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утвержденного календарного плана формируется бюджет доходов и расходов с учетом расчетных объемов затрат на все ТМЦ и привлеченные механизмы, составляемые командой службы логистики.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члена команды по охране труда возлагается ответственность за мероприятия по обеспечению безопасного производства работ.</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Членами команды финансового отдела определяются суммы на кредиты и расходы на инвестиционные программы на заработную плату и все связанные с ней отчисления, включая компенсацию на отпуск.</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учетом расходно-доходных показателей всех вышеперечисленных структур составляется бюджет доходов и расходов (БДР), подписывается его разработчиками, после согласовывается их функциональными руководителями, руководителем проекта, куратором проекта, в завершении утверждается Внутренним заказчиком. Доходами в БДР признаются только от подписанных ежемесячно актов приемки выполненных работ по форме КС-2.</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утверждения БДР Администратор проекта, уполномоченный Приказом Генерального директора на фазе Концепции проекта, формирует бюджет движения денежных средств, показывающий фактическое движение денежных средств в процессе реализации проекта, который включает как документально подтвержденные доходы, так и кредиты, авансы участвующим контрагентам. Также функциями администратора являются оформление и корректировка календарного плана и уставных документов проекта, тщательный мониторинг выполнения календарного плана, выявление причин отклонений, подготовка предложений для Руководителя проекта по принятию решений, формирование архива проекта, организация и протоколирование рабочих совещаний, информационное обеспечение руководителя проектного офиса о нарушении технологии управления проектами. Основополагающей обязанностью Администратора является запрос информации от членов команды проекта о состоянии дел по проекту.</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Администратор несет ответственность за регулярный и достоверный мониторинг проекта, соблюдение плана коммуникаций между членами команды проекта, соответствие регламенту документооборота проекта, своевременность и полноту занесения данных в ИСУП, контроль соблюдения технологии управления проектом.</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завершении всех проводимых мероприятий по проектным работам, в общем процессе взаимодействия Внутреннего Заказчика, Куратора проекта, </w:t>
      </w:r>
      <w:r>
        <w:rPr>
          <w:rFonts w:ascii="Times New Roman CYR" w:hAnsi="Times New Roman CYR" w:cs="Times New Roman CYR"/>
          <w:sz w:val="28"/>
          <w:szCs w:val="28"/>
        </w:rPr>
        <w:lastRenderedPageBreak/>
        <w:t>Руководителя проекта, Главного предметного специалиста происходит идентификация конечных результатов проекта, которая включает следующие этапы:</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Изучение технического задания / проектно-сметной документации;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Сбор требований к проекту от всех заинтересованных сторон (внешний и внутренний заказчик, контролирующие органы)</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Выделение ключевых вех результатов проекта (промежуточные и конечные продукты).</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получения отчетности о статусе работ, всех подписанных Актов приемки выполненных работ, запросов на изменения, прочей исполнительной документации происходит фаза закрытия, она производится на основании.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Приказ о закрытии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Итоговый отчёт по проекту;</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Архив управленческих документов по проекту.</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Предлагается тщательно продуманная матрица ответственности за разработку, согласование и утверждение управленческих документов по проекту отображенная в Приложении 8.</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завершении всех рекомендаций по совершенствованию управления проектами ООО «Новоуральская промышленная компания», предлагается новая матричная структура, изображенная на рисунке 11.</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256C6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lastRenderedPageBreak/>
        <w:drawing>
          <wp:inline distT="0" distB="0" distL="0" distR="0">
            <wp:extent cx="4810125" cy="2552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125" cy="2552700"/>
                    </a:xfrm>
                    <a:prstGeom prst="rect">
                      <a:avLst/>
                    </a:prstGeom>
                    <a:noFill/>
                    <a:ln>
                      <a:noFill/>
                    </a:ln>
                  </pic:spPr>
                </pic:pic>
              </a:graphicData>
            </a:graphic>
          </wp:inline>
        </w:drawing>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10. Матричная организационная структура управления проектами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примере представлена сильная матрица построения организационной структуры управления.</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Она объясняется тем, что для выполнения различных проектов подбирается индивидуальный состав, так на проект №1 было назначено 5 человек из отдела производства, 1 1/2 ставки из отдела логистики, полставки из техотдела, два сотрудника проектно-сметного отдела и полставки из финансового отдела. Данные работники осуществляют свою деятельность по своим функциональным подразделениям, но назначены на проект на полную занятость или частично в зависимости от потребности в них.</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руководитель проекта определяет сроки и объемы проектов, осуществляет общий контроль за исполнением, а руководитель программы определяет ролевое назначение распределения на проект, функциональными руководителями определяются технологии для реализации задач по проекту, организация проектных бригад и прочее.</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Оценка эффективности предложений по совершенствованию управления проектами ООО «Новоуральская промышленная компания»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расчетов доходной части использована величина стоимости проектов по капитальному строительству, как наиболее предсказуемый параметр.</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основу принята консервативная оценка показателей эффективности - снижение стоимости реализации проектов по капиталь- ному строительству от 1 до 2 % бюджета капитального строительства за счет собственных средств в период 2013-2024 гг. Это снижение происходит за счет:</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экономии бюджета на реализацию проектов за счет сокращения затрат при более эффективном управлении;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экономии бюджета за счет фонда оплаты труда при сокращении времени выполнения проекта.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расходную часть проекта включены первоначальные затраты на внедрение КСУП и последующие текущие затраты на эксплуатацию проектного офиса (приобретение оборудования и мебели, фонд заработной платы сотрудников, обучение персонала проектного офиса).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256C6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5295900" cy="2143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2143125"/>
                    </a:xfrm>
                    <a:prstGeom prst="rect">
                      <a:avLst/>
                    </a:prstGeom>
                    <a:noFill/>
                    <a:ln>
                      <a:noFill/>
                    </a:ln>
                  </pic:spPr>
                </pic:pic>
              </a:graphicData>
            </a:graphic>
          </wp:inline>
        </w:drawing>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Рис.11. Схема показателей эффективности проектного управления</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Показатели коммерческой эффективности внедрения КСУП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50"/>
        <w:gridCol w:w="1135"/>
      </w:tblGrid>
      <w:tr w:rsidR="00BC46F9">
        <w:trPr>
          <w:jc w:val="center"/>
        </w:trPr>
        <w:tc>
          <w:tcPr>
            <w:tcW w:w="71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1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BC46F9">
        <w:trPr>
          <w:jc w:val="center"/>
        </w:trPr>
        <w:tc>
          <w:tcPr>
            <w:tcW w:w="71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Чистый дисконтированный доход (ЧДД) или (интегральный эффект Эи), тыс. р.</w:t>
            </w:r>
          </w:p>
        </w:tc>
        <w:tc>
          <w:tcPr>
            <w:tcW w:w="11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19519,3</w:t>
            </w:r>
          </w:p>
        </w:tc>
      </w:tr>
      <w:tr w:rsidR="00BC46F9">
        <w:trPr>
          <w:jc w:val="center"/>
        </w:trPr>
        <w:tc>
          <w:tcPr>
            <w:tcW w:w="71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Индекс эффективности Иэр</w:t>
            </w:r>
          </w:p>
        </w:tc>
        <w:tc>
          <w:tcPr>
            <w:tcW w:w="11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3,46</w:t>
            </w:r>
          </w:p>
        </w:tc>
      </w:tr>
      <w:tr w:rsidR="00BC46F9">
        <w:trPr>
          <w:jc w:val="center"/>
        </w:trPr>
        <w:tc>
          <w:tcPr>
            <w:tcW w:w="71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Внутренняя норма доходности, %</w:t>
            </w:r>
          </w:p>
        </w:tc>
        <w:tc>
          <w:tcPr>
            <w:tcW w:w="11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w:t>
            </w:r>
          </w:p>
        </w:tc>
      </w:tr>
      <w:tr w:rsidR="00BC46F9">
        <w:trPr>
          <w:jc w:val="center"/>
        </w:trPr>
        <w:tc>
          <w:tcPr>
            <w:tcW w:w="71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Дисконтированный срок окупаемости, годы</w:t>
            </w:r>
          </w:p>
        </w:tc>
        <w:tc>
          <w:tcPr>
            <w:tcW w:w="11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12. Расчет показателей чистого дисконтированного дохода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3119"/>
        <w:gridCol w:w="1417"/>
        <w:gridCol w:w="1418"/>
      </w:tblGrid>
      <w:tr w:rsidR="00BC46F9">
        <w:trPr>
          <w:jc w:val="center"/>
        </w:trPr>
        <w:tc>
          <w:tcPr>
            <w:tcW w:w="8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 Год</w:t>
            </w:r>
          </w:p>
        </w:tc>
        <w:tc>
          <w:tcPr>
            <w:tcW w:w="31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(b) Коэффициент дисконтирования [(1 + 0,1)(a)]</w:t>
            </w:r>
          </w:p>
        </w:tc>
        <w:tc>
          <w:tcPr>
            <w:tcW w:w="14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(c) Денежный поток</w:t>
            </w:r>
          </w:p>
        </w:tc>
        <w:tc>
          <w:tcPr>
            <w:tcW w:w="14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NPV [(c)/(b)]</w:t>
            </w:r>
          </w:p>
        </w:tc>
      </w:tr>
      <w:tr w:rsidR="00BC46F9">
        <w:trPr>
          <w:jc w:val="center"/>
        </w:trPr>
        <w:tc>
          <w:tcPr>
            <w:tcW w:w="8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31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4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-20500</w:t>
            </w:r>
          </w:p>
        </w:tc>
        <w:tc>
          <w:tcPr>
            <w:tcW w:w="14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-20500</w:t>
            </w:r>
          </w:p>
        </w:tc>
      </w:tr>
      <w:tr w:rsidR="00BC46F9">
        <w:trPr>
          <w:jc w:val="center"/>
        </w:trPr>
        <w:tc>
          <w:tcPr>
            <w:tcW w:w="8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31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1.1000</w:t>
            </w:r>
          </w:p>
        </w:tc>
        <w:tc>
          <w:tcPr>
            <w:tcW w:w="14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8003,9</w:t>
            </w:r>
          </w:p>
        </w:tc>
        <w:tc>
          <w:tcPr>
            <w:tcW w:w="14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7276,3</w:t>
            </w:r>
          </w:p>
        </w:tc>
      </w:tr>
      <w:tr w:rsidR="00BC46F9">
        <w:trPr>
          <w:jc w:val="center"/>
        </w:trPr>
        <w:tc>
          <w:tcPr>
            <w:tcW w:w="8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31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1.2100</w:t>
            </w:r>
          </w:p>
        </w:tc>
        <w:tc>
          <w:tcPr>
            <w:tcW w:w="14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10000,8</w:t>
            </w:r>
          </w:p>
        </w:tc>
        <w:tc>
          <w:tcPr>
            <w:tcW w:w="14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8265,1</w:t>
            </w:r>
          </w:p>
        </w:tc>
      </w:tr>
      <w:tr w:rsidR="00BC46F9">
        <w:trPr>
          <w:jc w:val="center"/>
        </w:trPr>
        <w:tc>
          <w:tcPr>
            <w:tcW w:w="8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31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1.3310</w:t>
            </w:r>
          </w:p>
        </w:tc>
        <w:tc>
          <w:tcPr>
            <w:tcW w:w="14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12062,5</w:t>
            </w:r>
          </w:p>
        </w:tc>
        <w:tc>
          <w:tcPr>
            <w:tcW w:w="14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9062,7</w:t>
            </w:r>
          </w:p>
        </w:tc>
      </w:tr>
      <w:tr w:rsidR="00BC46F9">
        <w:trPr>
          <w:jc w:val="center"/>
        </w:trPr>
        <w:tc>
          <w:tcPr>
            <w:tcW w:w="8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31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1.4641</w:t>
            </w:r>
          </w:p>
        </w:tc>
        <w:tc>
          <w:tcPr>
            <w:tcW w:w="14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11563,3</w:t>
            </w:r>
          </w:p>
        </w:tc>
        <w:tc>
          <w:tcPr>
            <w:tcW w:w="14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7897,9</w:t>
            </w:r>
          </w:p>
        </w:tc>
      </w:tr>
      <w:tr w:rsidR="00BC46F9">
        <w:trPr>
          <w:jc w:val="center"/>
        </w:trPr>
        <w:tc>
          <w:tcPr>
            <w:tcW w:w="8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31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1.6105</w:t>
            </w:r>
          </w:p>
        </w:tc>
        <w:tc>
          <w:tcPr>
            <w:tcW w:w="14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12106,6</w:t>
            </w:r>
          </w:p>
        </w:tc>
        <w:tc>
          <w:tcPr>
            <w:tcW w:w="14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7517,3</w:t>
            </w:r>
          </w:p>
        </w:tc>
      </w:tr>
      <w:tr w:rsidR="00BC46F9">
        <w:trPr>
          <w:jc w:val="center"/>
        </w:trPr>
        <w:tc>
          <w:tcPr>
            <w:tcW w:w="8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31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35367,4</w:t>
            </w:r>
          </w:p>
        </w:tc>
        <w:tc>
          <w:tcPr>
            <w:tcW w:w="14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19519,3</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чистый дисконтированный доход равен 19519,3тыс.руб., а DPP =(20500-7276,3-8265,1)/ 9062,7+3года = 3,5года, PI = (8003,9/1,1 + 10000,8/1,21 +12062,5 /1.3310+11563,3/1.4641+12106,6/1,6105) /20500 =1,95%.</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Расчет внутренней нормы доходности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76"/>
        <w:gridCol w:w="899"/>
        <w:gridCol w:w="1116"/>
        <w:gridCol w:w="847"/>
        <w:gridCol w:w="992"/>
        <w:gridCol w:w="851"/>
        <w:gridCol w:w="992"/>
      </w:tblGrid>
      <w:tr w:rsidR="00BC46F9">
        <w:trPr>
          <w:jc w:val="center"/>
        </w:trPr>
        <w:tc>
          <w:tcPr>
            <w:tcW w:w="59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27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 поток (тыс. руб.)</w:t>
            </w:r>
          </w:p>
        </w:tc>
        <w:tc>
          <w:tcPr>
            <w:tcW w:w="89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r=20%</w:t>
            </w:r>
          </w:p>
        </w:tc>
        <w:tc>
          <w:tcPr>
            <w:tcW w:w="11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NPV1</w:t>
            </w:r>
          </w:p>
        </w:tc>
        <w:tc>
          <w:tcPr>
            <w:tcW w:w="8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r =30%</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NPV2</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r = 40%</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NPV3</w:t>
            </w:r>
          </w:p>
        </w:tc>
      </w:tr>
      <w:tr w:rsidR="00BC46F9">
        <w:trPr>
          <w:jc w:val="center"/>
        </w:trPr>
        <w:tc>
          <w:tcPr>
            <w:tcW w:w="59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- 20500</w:t>
            </w:r>
          </w:p>
        </w:tc>
        <w:tc>
          <w:tcPr>
            <w:tcW w:w="89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1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- 20500</w:t>
            </w:r>
          </w:p>
        </w:tc>
        <w:tc>
          <w:tcPr>
            <w:tcW w:w="8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-20500</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- 20500</w:t>
            </w:r>
          </w:p>
        </w:tc>
      </w:tr>
      <w:tr w:rsidR="00BC46F9">
        <w:trPr>
          <w:jc w:val="center"/>
        </w:trPr>
        <w:tc>
          <w:tcPr>
            <w:tcW w:w="59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8003,9</w:t>
            </w:r>
          </w:p>
        </w:tc>
        <w:tc>
          <w:tcPr>
            <w:tcW w:w="89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0,833</w:t>
            </w:r>
          </w:p>
        </w:tc>
        <w:tc>
          <w:tcPr>
            <w:tcW w:w="11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6667,25</w:t>
            </w:r>
          </w:p>
        </w:tc>
        <w:tc>
          <w:tcPr>
            <w:tcW w:w="8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0,769</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6154,99</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0,714</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5714,78</w:t>
            </w:r>
          </w:p>
        </w:tc>
      </w:tr>
      <w:tr w:rsidR="00BC46F9">
        <w:trPr>
          <w:jc w:val="center"/>
        </w:trPr>
        <w:tc>
          <w:tcPr>
            <w:tcW w:w="59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10000,8</w:t>
            </w:r>
          </w:p>
        </w:tc>
        <w:tc>
          <w:tcPr>
            <w:tcW w:w="89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0,694</w:t>
            </w:r>
          </w:p>
        </w:tc>
        <w:tc>
          <w:tcPr>
            <w:tcW w:w="11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6940,56</w:t>
            </w:r>
          </w:p>
        </w:tc>
        <w:tc>
          <w:tcPr>
            <w:tcW w:w="8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0,592</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5920,47</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0,510</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5100,41</w:t>
            </w:r>
          </w:p>
        </w:tc>
      </w:tr>
      <w:tr w:rsidR="00BC46F9">
        <w:trPr>
          <w:jc w:val="center"/>
        </w:trPr>
        <w:tc>
          <w:tcPr>
            <w:tcW w:w="59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12062,5</w:t>
            </w:r>
          </w:p>
        </w:tc>
        <w:tc>
          <w:tcPr>
            <w:tcW w:w="89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0,579</w:t>
            </w:r>
          </w:p>
        </w:tc>
        <w:tc>
          <w:tcPr>
            <w:tcW w:w="11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6984,19</w:t>
            </w:r>
          </w:p>
        </w:tc>
        <w:tc>
          <w:tcPr>
            <w:tcW w:w="8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0,455</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5488,4</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0,364</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4390,75</w:t>
            </w:r>
          </w:p>
        </w:tc>
      </w:tr>
      <w:tr w:rsidR="00BC46F9">
        <w:trPr>
          <w:jc w:val="center"/>
        </w:trPr>
        <w:tc>
          <w:tcPr>
            <w:tcW w:w="59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11563,3</w:t>
            </w:r>
          </w:p>
        </w:tc>
        <w:tc>
          <w:tcPr>
            <w:tcW w:w="89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0,482</w:t>
            </w:r>
          </w:p>
        </w:tc>
        <w:tc>
          <w:tcPr>
            <w:tcW w:w="11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5573,51</w:t>
            </w:r>
          </w:p>
        </w:tc>
        <w:tc>
          <w:tcPr>
            <w:tcW w:w="8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0,350</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4047,16</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0,260</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3006,46</w:t>
            </w:r>
          </w:p>
        </w:tc>
      </w:tr>
      <w:tr w:rsidR="00BC46F9">
        <w:trPr>
          <w:jc w:val="center"/>
        </w:trPr>
        <w:tc>
          <w:tcPr>
            <w:tcW w:w="59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12106,6</w:t>
            </w:r>
          </w:p>
        </w:tc>
        <w:tc>
          <w:tcPr>
            <w:tcW w:w="89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0,402</w:t>
            </w:r>
          </w:p>
        </w:tc>
        <w:tc>
          <w:tcPr>
            <w:tcW w:w="11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4866,85</w:t>
            </w:r>
          </w:p>
        </w:tc>
        <w:tc>
          <w:tcPr>
            <w:tcW w:w="8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0,269</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3256,68</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0,186</w:t>
            </w: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2251,83</w:t>
            </w:r>
          </w:p>
        </w:tc>
      </w:tr>
      <w:tr w:rsidR="00BC46F9">
        <w:trPr>
          <w:jc w:val="center"/>
        </w:trPr>
        <w:tc>
          <w:tcPr>
            <w:tcW w:w="59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89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11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10532,36</w:t>
            </w:r>
          </w:p>
        </w:tc>
        <w:tc>
          <w:tcPr>
            <w:tcW w:w="8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4367,7</w:t>
            </w:r>
          </w:p>
        </w:tc>
        <w:tc>
          <w:tcPr>
            <w:tcW w:w="851"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−35,77</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30 + (4367,7/(4367,7+35,77))*(40-30) = 39,9%, таким образом, внутренняя норма окупаемости данного проекта составила 33,06%.</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произведем расчет предельных значений проекта КСУП, на основании данных таблицы 14.</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14. Прогнозные значения доходов и расходов по проекту КСУП на первый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8"/>
        <w:gridCol w:w="710"/>
        <w:gridCol w:w="850"/>
      </w:tblGrid>
      <w:tr w:rsidR="00BC46F9">
        <w:trPr>
          <w:jc w:val="center"/>
        </w:trPr>
        <w:tc>
          <w:tcPr>
            <w:tcW w:w="42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 (в тыс. руб.)</w:t>
            </w:r>
          </w:p>
        </w:tc>
        <w:tc>
          <w:tcPr>
            <w:tcW w:w="71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0-й</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1-й</w:t>
            </w:r>
          </w:p>
        </w:tc>
      </w:tr>
      <w:tr w:rsidR="00BC46F9">
        <w:trPr>
          <w:jc w:val="center"/>
        </w:trPr>
        <w:tc>
          <w:tcPr>
            <w:tcW w:w="42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Доход от реализации проектных мероприятий</w:t>
            </w:r>
          </w:p>
        </w:tc>
        <w:tc>
          <w:tcPr>
            <w:tcW w:w="71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7276,3</w:t>
            </w:r>
          </w:p>
        </w:tc>
      </w:tr>
      <w:tr w:rsidR="00BC46F9">
        <w:trPr>
          <w:jc w:val="center"/>
        </w:trPr>
        <w:tc>
          <w:tcPr>
            <w:tcW w:w="42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Начальные затраты</w:t>
            </w:r>
          </w:p>
        </w:tc>
        <w:tc>
          <w:tcPr>
            <w:tcW w:w="71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-800</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BC46F9">
        <w:trPr>
          <w:jc w:val="center"/>
        </w:trPr>
        <w:tc>
          <w:tcPr>
            <w:tcW w:w="42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Трудовые издержки</w:t>
            </w:r>
          </w:p>
        </w:tc>
        <w:tc>
          <w:tcPr>
            <w:tcW w:w="71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-5685</w:t>
            </w:r>
          </w:p>
        </w:tc>
      </w:tr>
      <w:tr w:rsidR="00BC46F9">
        <w:trPr>
          <w:jc w:val="center"/>
        </w:trPr>
        <w:tc>
          <w:tcPr>
            <w:tcW w:w="42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Материальные издержки</w:t>
            </w:r>
          </w:p>
        </w:tc>
        <w:tc>
          <w:tcPr>
            <w:tcW w:w="71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-3899</w:t>
            </w:r>
          </w:p>
        </w:tc>
      </w:tr>
      <w:tr w:rsidR="00BC46F9">
        <w:trPr>
          <w:jc w:val="center"/>
        </w:trPr>
        <w:tc>
          <w:tcPr>
            <w:tcW w:w="421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издержки</w:t>
            </w:r>
          </w:p>
        </w:tc>
        <w:tc>
          <w:tcPr>
            <w:tcW w:w="71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-3593</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коэффициент дисконтирования: Wtr = [((1+r)n-1)/r(1+r)n], так С учетом среднегодовых доходов и расходов для ставки дисконтирования 18% и 5 - летнего горизонта инвестиций коэффициент дисконтирования составит Wtr (t = 1, 2 …, n; r) = Wtr (5;18%) =3,12717.</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 +8003,9 - 5685 - 3899 - 3593) (1-0,20)] Wtr (4; 18) - 800 = 0;</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(0,80Р -4138,48)</w:t>
      </w:r>
      <w:r>
        <w:rPr>
          <w:rFonts w:ascii="Times New Roman CYR" w:hAnsi="Times New Roman CYR" w:cs="Times New Roman CYR"/>
          <w:sz w:val="28"/>
          <w:szCs w:val="28"/>
        </w:rPr>
        <w:t xml:space="preserve"> </w:t>
      </w:r>
      <w:r>
        <w:rPr>
          <w:rFonts w:ascii="Times New Roman CYR" w:hAnsi="Times New Roman CYR" w:cs="Times New Roman CYR"/>
          <w:color w:val="000000"/>
          <w:sz w:val="28"/>
          <w:szCs w:val="28"/>
        </w:rPr>
        <w:t>3,12717 -800= 0;</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,501736P =13741,7;= 5493тыс.руб.</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lastRenderedPageBreak/>
        <w:t>Представленное решение уравнения свидетельствует, что для проекта КСУП значение NPV станет нулевым в случае, когда доходы снизятся до 5493тыс.руб. (базовое значение Р = 7276,3 руб.).</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был выполнен расчет чувствительности проекта внедрения КСУП к изменению среднегодового бюджета проектной деятельности компании, который показывает для первого года, что проект продолжает генерировать положительные денежные потоки при уменьшении среднегодового бюджета от планового уровня не более 32 % (7276,3/54,93).</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снижении бюджета более чем на 32 % для рентабельного функционирования проектного офиса должны быть снижены затраты на его содержание.</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экономической эффективности существуют выгоды верхнего стратегического уровня, например рост инвестиционной привлекательности компании, ее готовности к изменениям, общая эффективность, конкурентоспособность, повышение капитализации, снижение трудозатрат, рост стоимости бренда. Особенностью проектного управления является тесная связь с практической деятельностью человека. Отсюда и особые требования и к процессу преподавания, и к системе образования в области менеджмента. Повысить компетентность менеджера проектов можно, создавая эффективную среду накопления коллективных профессиональных компетенций предприятия [3]. Руководитель проекта должен хорошо уметь управлять такими разными функциональными областями, как: предметная область проекта, временные параметры проекта, стоимость и финансирование, качество, риски, персонал, коммуникации, конфликты, поставки и контракты, изменения, безопасность [4].</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повышения квалификации управляющих проектами целесообразно разработать обучающий программный комплекс «Z-Project», являющийся элементом системы обучения руководителей и специалистов по управлению </w:t>
      </w:r>
      <w:r>
        <w:rPr>
          <w:rFonts w:ascii="Times New Roman CYR" w:hAnsi="Times New Roman CYR" w:cs="Times New Roman CYR"/>
          <w:sz w:val="28"/>
          <w:szCs w:val="28"/>
        </w:rPr>
        <w:lastRenderedPageBreak/>
        <w:t>проектами. Программный комплекс «Z-project» (ОПК «Z-project») предназначен для обучения основам проектной деятельности, основам экономики и финансов предприятия, слияния операционной (текущей) и проектной деятельности предприятия.</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«Z-project» предназначен для руководителей проектов и участников команды проектов. Целью является получение навыков инициации, планирования и исполнения проектов, выполнения экономических расчетов для оценки параметров, влияющих на эффективность принятия управленческих решений в проектной деятельности. Применение ОПК «Z-project» в процессе обучении персонала позволяет познакомить слушателей с положениями стандарта PMI PMBOK, увеличить уровень образованности участников проектных команд, повысить уровень проектной культуры, обучить практике проведение финансово-экономических расчетов.</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схема поэтапного осуществления работы ОПК «Z-project» в реализации проектного управления отражена на рисунке 12.</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p>
    <w:p w:rsidR="00BC46F9" w:rsidRDefault="00256C6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533900" cy="2581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3900" cy="2581275"/>
                    </a:xfrm>
                    <a:prstGeom prst="rect">
                      <a:avLst/>
                    </a:prstGeom>
                    <a:noFill/>
                    <a:ln>
                      <a:noFill/>
                    </a:ln>
                  </pic:spPr>
                </pic:pic>
              </a:graphicData>
            </a:graphic>
          </wp:inline>
        </w:drawing>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12 Схема работы ОПК «Z-project»</w:t>
      </w:r>
    </w:p>
    <w:p w:rsidR="00BC46F9" w:rsidRDefault="00BC46F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После проекта внедрения КСУП может существенно сократиться количество авралов и неурочной работы, число зафиксированных сбоев, могут стать более определенными цели и результаты, увеличиться количество проектов. После внедрения руководство будет иметь возможность выбирать экономически более эффективные проекты, менее рискованные. Фактически разрабатывается механизм оперативного учета и оценки всех поступающих идей проектов развития. Все инициированные проекты рассматриваются на соответствие стратегии компании, существенно увеличивается количество и качество предложений по изменению. Все проекты реализуются в рамках единой корпоративной стратегии, дополняя друг друга [5]. Внедрение в Обществе корпоративной системы управления проектами позволит повысить результативность и эффективность выполнения задач развития газотранспортной системы в новых регионах, а также осуществить реализацию всех проектов организации: инвестиционных, социальных, IT и проектов организационного развития.</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Плановая оценка выгодности внедрения КСУП в рамках своей отрасли отражает рисунок 13.</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p>
    <w:p w:rsidR="00BC46F9" w:rsidRDefault="00256C6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752975" cy="1981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2975" cy="1981200"/>
                    </a:xfrm>
                    <a:prstGeom prst="rect">
                      <a:avLst/>
                    </a:prstGeom>
                    <a:noFill/>
                    <a:ln>
                      <a:noFill/>
                    </a:ln>
                  </pic:spPr>
                </pic:pic>
              </a:graphicData>
            </a:graphic>
          </wp:inline>
        </w:drawing>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13. Выгоды от внедрения методологии проектного управления</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помнить, что целях поддержания эффективности работы </w:t>
      </w:r>
      <w:r>
        <w:rPr>
          <w:rFonts w:ascii="Times New Roman CYR" w:hAnsi="Times New Roman CYR" w:cs="Times New Roman CYR"/>
          <w:sz w:val="28"/>
          <w:szCs w:val="28"/>
        </w:rPr>
        <w:lastRenderedPageBreak/>
        <w:t>системы управления проектами, ее необходимо постоянно развивать. Остановки в развитии системы приводит к утрате конкурентного преимущества. Развитие корпоративной системы управления проектами должна реализовываться постоянно.</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Составим график по планируемым затратам по рекомендуемой КСУП в сопоставимом объеме извлекаемых выгод, отображаемых на рисунке 15.</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p>
    <w:p w:rsidR="00BC46F9" w:rsidRDefault="00256C6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72050" cy="2390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2050" cy="2390775"/>
                    </a:xfrm>
                    <a:prstGeom prst="rect">
                      <a:avLst/>
                    </a:prstGeom>
                    <a:noFill/>
                    <a:ln>
                      <a:noFill/>
                    </a:ln>
                  </pic:spPr>
                </pic:pic>
              </a:graphicData>
            </a:graphic>
          </wp:inline>
        </w:drawing>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14 Сопоставление стоимости управления проектами и выгод, получаемых в результате управления проектами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внедрения и развития системы управления проектами ощутим только на третьем уровне технологической зрелости компании.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использования КСУП для Компании-заказчика:</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.Ориентация проектной деятельности на стратегические цели;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взаимодействия подразделений и сотрудников компании в рамках проектов;</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точности планирования и эффективности использования доступных ресурсов;</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управленческих решений, основанных на фактах;</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.Возможность изменять приоритеты проектов согласно четким критериям и с учетом взаимного влияния проектов;</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оперативного контроля статуса проектного портфеля;</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прогнозировать освоение выделенного бюджета и контролировать соблюдение финансовой дисциплины.</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проведенной оценки эффективности Команды управления инвестиционно-строительными проектами исследуемой Компании, была выявлена крайне слабая степень организации управленческих мощностей, что влечет за собой задержки сроков сдачи объектов, снижение качества выполняемых работ, понижение конкурентоспособности, и как следствие того, крупные финансовые потери.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для организации ООО «Новоуральская промышленная компания» предлагается внедрение единой корпоративной системы управления проектами (далее КСУП) представляющую собой комплексные методические, административные и информационные средства, позволяющие организовать и поддерживать процессы управления проектами в компании.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система позволяет:</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создать сбалансированный портфель проектов, который имеет ориентир на стратегические цели Новоуральской промышленной компании;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 исследовать процесс реализации портфеля проектов и своевременно обнаруживать возможные отклонения от поставленной цели и вносить корректировки;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обозревать единую область исполнения всех проектов;</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осуществлять контроль по достижению стратегических целей Компании;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проверять и координировать пользование ресурсной базой компании;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проводить контроль сроков исполнения проектов;</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держать под контролем бюджеты проектов;</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ревизовать общий ход проекта в ключевых точках;</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вовремя проводить аудит проектов и проектной деятельности и своевременно вносить корректировки.</w:t>
      </w:r>
    </w:p>
    <w:p w:rsidR="00BC46F9" w:rsidRDefault="00BC46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оценке эффективности внедрения корпоративной системы был произведен расчет чувствительности проекта внедрения КСУП к изменению среднегодового бюджета проектной деятельности компании, который показывает, что проект продолжает генерировать положительные денежные потоки при уменьшении среднегодового бюджета от планового уровня не более 32 %. При снижении бюджета более чем на 32 % для рентабельного функционирования проектного офиса должны быть снижены затраты на его содержание.</w:t>
      </w:r>
    </w:p>
    <w:p w:rsidR="00BC46F9" w:rsidRDefault="00BC46F9">
      <w:pPr>
        <w:widowControl w:val="0"/>
        <w:autoSpaceDE w:val="0"/>
        <w:autoSpaceDN w:val="0"/>
        <w:adjustRightInd w:val="0"/>
        <w:rPr>
          <w:rFonts w:ascii="Times New Roman CYR" w:hAnsi="Times New Roman CYR" w:cs="Times New Roman CYR"/>
          <w:b/>
          <w:bCs/>
          <w:color w:val="000000"/>
          <w:spacing w:val="-1"/>
          <w:sz w:val="28"/>
          <w:szCs w:val="28"/>
        </w:rPr>
      </w:pPr>
      <w:r>
        <w:rPr>
          <w:rFonts w:ascii="Times New Roman CYR" w:hAnsi="Times New Roman CYR" w:cs="Times New Roman CYR"/>
          <w:b/>
          <w:bCs/>
          <w:color w:val="000000"/>
          <w:spacing w:val="-1"/>
          <w:sz w:val="28"/>
          <w:szCs w:val="28"/>
        </w:rPr>
        <w:br w:type="page"/>
      </w:r>
    </w:p>
    <w:p w:rsidR="00BC46F9" w:rsidRDefault="00BC46F9">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b/>
          <w:bCs/>
          <w:color w:val="000000"/>
          <w:spacing w:val="-1"/>
          <w:sz w:val="28"/>
          <w:szCs w:val="28"/>
        </w:rPr>
      </w:pPr>
      <w:r>
        <w:rPr>
          <w:rFonts w:ascii="Times New Roman CYR" w:hAnsi="Times New Roman CYR" w:cs="Times New Roman CYR"/>
          <w:b/>
          <w:bCs/>
          <w:color w:val="000000"/>
          <w:spacing w:val="-1"/>
          <w:sz w:val="28"/>
          <w:szCs w:val="28"/>
        </w:rPr>
        <w:lastRenderedPageBreak/>
        <w:t>Заключение</w:t>
      </w:r>
    </w:p>
    <w:p w:rsidR="00BC46F9" w:rsidRDefault="00BC46F9">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p>
    <w:p w:rsidR="00BC46F9" w:rsidRDefault="00BC46F9">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1"/>
          <w:sz w:val="28"/>
          <w:szCs w:val="28"/>
        </w:rPr>
        <w:t xml:space="preserve">Инвестиционно-строительная деятельность представляет собой </w:t>
      </w:r>
      <w:r>
        <w:rPr>
          <w:rFonts w:ascii="Times New Roman CYR" w:hAnsi="Times New Roman CYR" w:cs="Times New Roman CYR"/>
          <w:color w:val="000000"/>
          <w:spacing w:val="-4"/>
          <w:sz w:val="28"/>
          <w:szCs w:val="28"/>
        </w:rPr>
        <w:t>многоаспектную систему экономической активности, включающую не толь</w:t>
      </w:r>
      <w:r>
        <w:rPr>
          <w:rFonts w:ascii="Times New Roman CYR" w:hAnsi="Times New Roman CYR" w:cs="Times New Roman CYR"/>
          <w:color w:val="000000"/>
          <w:spacing w:val="-2"/>
          <w:sz w:val="28"/>
          <w:szCs w:val="28"/>
        </w:rPr>
        <w:t>ко собственно инвестиционный процесс и ведение строительных работ, но и целый ряд сопряженных мероприятий, направленных на достижение итого</w:t>
      </w:r>
      <w:r>
        <w:rPr>
          <w:rFonts w:ascii="Times New Roman CYR" w:hAnsi="Times New Roman CYR" w:cs="Times New Roman CYR"/>
          <w:color w:val="000000"/>
          <w:spacing w:val="-1"/>
          <w:sz w:val="28"/>
          <w:szCs w:val="28"/>
        </w:rPr>
        <w:t>вого эффекта от принятия и реализации инвестиционного решения.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pacing w:val="-1"/>
          <w:sz w:val="28"/>
          <w:szCs w:val="28"/>
        </w:rPr>
        <w:t xml:space="preserve">Инвестиционно-строительная деятельность реализуется определенной </w:t>
      </w:r>
      <w:r>
        <w:rPr>
          <w:rFonts w:ascii="Times New Roman CYR" w:hAnsi="Times New Roman CYR" w:cs="Times New Roman CYR"/>
          <w:color w:val="000000"/>
          <w:spacing w:val="-3"/>
          <w:sz w:val="28"/>
          <w:szCs w:val="28"/>
        </w:rPr>
        <w:t>системой производственных, функциональных и институциональных струк</w:t>
      </w:r>
      <w:r>
        <w:rPr>
          <w:rFonts w:ascii="Times New Roman CYR" w:hAnsi="Times New Roman CYR" w:cs="Times New Roman CYR"/>
          <w:color w:val="000000"/>
          <w:sz w:val="28"/>
          <w:szCs w:val="28"/>
        </w:rPr>
        <w:t>тур, образующих инвестиционно-строительный сектор экономики.</w:t>
      </w:r>
    </w:p>
    <w:p w:rsidR="00BC46F9" w:rsidRDefault="00BC46F9">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pacing w:val="4"/>
          <w:sz w:val="28"/>
          <w:szCs w:val="28"/>
        </w:rPr>
      </w:pPr>
      <w:r>
        <w:rPr>
          <w:rFonts w:ascii="Times New Roman CYR" w:hAnsi="Times New Roman CYR" w:cs="Times New Roman CYR"/>
          <w:color w:val="000000"/>
          <w:spacing w:val="4"/>
          <w:sz w:val="28"/>
          <w:szCs w:val="28"/>
        </w:rPr>
        <w:t>Инвестиционно-строительная деятельность, как правило, является воплощением определенных экономических установок каждого из контрагентов этой деятельности - повышения уровня жизни (как основной установки деятельности для органов регионального управления и местного самоуправления) и оптимизации среды жизнедеятельности (для общества), удачного вложения свободных средств и получения прибыли (для частных инвесторов и строительных компаний). С последними установками напрямую связано представление об ИСД как об одной из немногих форм возможной физической реализации действующих приоритетов региональной политики.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«Новоуральская промышленная компания признана авторитетной строительной организацией, имеющей солидный опыт работы на самых сложных объектах нефтяной промышленности, сфера ее присутствия ООО «Новоуральская промышленная компания» распространяется на все регионы России, а постоянными заказчиками выступают крупнейшие компании нефтегазовой отрасли.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проведенной оценки эффективности Команды управления инвестиционно-строительными проектами исследуемой Компании, была </w:t>
      </w:r>
      <w:r>
        <w:rPr>
          <w:rFonts w:ascii="Times New Roman CYR" w:hAnsi="Times New Roman CYR" w:cs="Times New Roman CYR"/>
          <w:sz w:val="28"/>
          <w:szCs w:val="28"/>
        </w:rPr>
        <w:lastRenderedPageBreak/>
        <w:t>выявлена крайне слабая степень организации управленческих мощностей, что влечет за собой задержки сроков сдачи объектов, снижение качества выполняемых работ, понижение конкурентоспособности, и как следствие того, крупные финансовые потери.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для организации ООО «Новоуральская промышленная компания» необходимо внедрение единой корпоративной системы управления проектами (далее КСУП) представляющую собой комплексные методические, административные и информационные средства, позволяющие организовать и поддерживать процессы управления проектами в компании.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система позволяет:</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создать сбалансированный портфель проектов, который имеет ориентир на стратегические цели Новоуральской промышленной компании;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 исследовать процесс реализации портфеля проектов и своевременно обнаруживать возможные отклонения от поставленной цели и вносить корректировки;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обозревать единую область исполнения всех проектов;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осуществлять контроль по достижению стратегических целей Компании;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проверять и координировать пользование ресурсной базой компании;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проводить контроль сроков исполнения проектов;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держать под контролем бюджеты проектов;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ревизовать общий ход проекта в ключевых точках;</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вовремя проводить аудит проектов и проектной деятельности и своевременно вносить корректировки.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оценке эффективности внедрения корпоративной системы был произведен расчет чувствительности проекта внедрения КСУП к изменению среднегодового бюджета проектной деятельности компании, который показывает, что проект продолжает генерировать положительные денежные </w:t>
      </w:r>
      <w:r>
        <w:rPr>
          <w:rFonts w:ascii="Times New Roman CYR" w:hAnsi="Times New Roman CYR" w:cs="Times New Roman CYR"/>
          <w:sz w:val="28"/>
          <w:szCs w:val="28"/>
        </w:rPr>
        <w:lastRenderedPageBreak/>
        <w:t>потоки при уменьшении среднегодового бюджета от планового уровня не более 32 %. При снижении бюджета более чем на 32 % для рентабельного функционирования проектного офиса должны быть снижены затраты на его содержание.</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любой другой проект, внедрение КСУП имеет ряд рисков, и в случае значимости их влияния на деятельность Новоуральской промышленной компании и процесс внедрения возможны серьезные проблемы. Среди основных источников рисков внедрения КСУП необходимо выделить:</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.сопротивление персонала компании, так как внедрение может показать отсутствие навыков планирования и организации у среднего звена или нарушить устойчивое равновесие;</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смена лояльности руководства;</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неудачи при запуске пилотных проектов;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терпения при ожидании ощутимых результатов;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.внешние колебания позиции компании на рынке;</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трудности, связанные с изменениями в планировании рабочего времени специалистов с неизбежными перераспределениями финансовых ресурсов и расслоением по величине и значимости проектов.</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Минимизацией возможных негативных последствий и оптимизацией рисков служит грамотная политика по работе со всем персоналом во время реализации КСУП, путем тщательной подготовки каждого этапа внедрения, а также стимуляции деятельности сотрудников в случае успешного освоения навыков новой системы. Обязательным мероприятием снижения рисков является предварительное поэтапное тестирование внедряемых участков, как в отношении информационно-технического обеспечения, так и проверкой практических навыков освоения системы всеми звеньями инвестиционно-строительного проектирования. Если по результатам подобных </w:t>
      </w:r>
      <w:r>
        <w:rPr>
          <w:rFonts w:ascii="Times New Roman CYR" w:hAnsi="Times New Roman CYR" w:cs="Times New Roman CYR"/>
          <w:sz w:val="28"/>
          <w:szCs w:val="28"/>
        </w:rPr>
        <w:lastRenderedPageBreak/>
        <w:t>предварительных тестирований будут выявлены текущие недостатки, требующие корректировок, или полного устранения, возложить обязанность на разработчика КСУП по доработки и сопоставлению данной методологии с практическими результатами реализации.</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Успех по внедрению КСУП возможен в случае организации слаженной проектной команды, которой должны быть делегированы соответствующие полномочия, установленные приказом Генерального директора компании. К примеру, в полномочия можно отнести: возможность переговоров с любыми сотрудниками компании, с целью определения уровня их подготовки, выделение необходимого времени, разрешение на получение любой необходимой информационной базы, предоставление финансовой поддержки и властных полномочий в рабочей группе по внедрению.</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использованной литературы</w:t>
      </w:r>
    </w:p>
    <w:p w:rsidR="00BC46F9" w:rsidRDefault="00BC46F9">
      <w:pPr>
        <w:widowControl w:val="0"/>
        <w:autoSpaceDE w:val="0"/>
        <w:autoSpaceDN w:val="0"/>
        <w:adjustRightInd w:val="0"/>
        <w:spacing w:after="0" w:line="360" w:lineRule="auto"/>
        <w:ind w:firstLine="709"/>
        <w:rPr>
          <w:rFonts w:ascii="Times New Roman CYR" w:hAnsi="Times New Roman CYR" w:cs="Times New Roman CYR"/>
          <w:b/>
          <w:bCs/>
          <w:color w:val="FFFFFF"/>
          <w:sz w:val="28"/>
          <w:szCs w:val="28"/>
        </w:rPr>
      </w:pPr>
      <w:r>
        <w:rPr>
          <w:rFonts w:ascii="Times New Roman CYR" w:hAnsi="Times New Roman CYR" w:cs="Times New Roman CYR"/>
          <w:b/>
          <w:bCs/>
          <w:color w:val="FFFFFF"/>
          <w:sz w:val="28"/>
          <w:szCs w:val="28"/>
        </w:rPr>
        <w:t>проект строительный промышленный инвестиционный</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Гражданский кодекс Российской Федерации. Часть первая. ФЗ от 30.11.1994 г. № 51-ФЗ // СЗ РФ. 1994. № 32. Ст. 3301;</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Градостроительный кодекс Российской Федерации. М.: Проспект, Омега-Л, 2009. 104 с.</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Перечень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КноРус - Москва, 2013. - 327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Экономика строительства; Феникс - Москва, 2014. - 384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Экономика строительства. Часть 1; Издательство Ассоциации строительных вузов, СПбГАСУ - Москва, 2014. - 368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Энциклопедия дачного строительства; АСТ - Москва, 2014. - 512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Энциклопедия дачного строительства; М.: АСТ - Москва, 2013. - 512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Энциклопедия строительства дома; Оникс - Москва, 2014. - 688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Бузырев В. В., Суворова А. П., Федосеев И. В., Чепаченко Н. В. Экономика строительства; Академия - Москва, 2014. - 336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Булгаков А. С., Воробьев В. А., Евтушенко С. И., Паршин Д. Я. Автоматизация и роботизация строительства; РИОР, Инфра-М - Москва, 2013. - 456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Голубова О. С., Валицкий С. В. Экономика строительства; ТетраСистемс - Москва, 2014. - 176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Горин В. А. Гражданские здания массового строительства; Издательство Ассоциации строительных вузов - Москва, 2013. - 152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Дробижев, В.З.; Кукушкин, Ю.С.; Папин, Л.М. В.И. Ленин во главе великого строительства; М.: Политиздат - Москва, 2014. - 328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Ефименко И. Б. Экономика строительства; ГроссМедиа, РОСБУХ - Москва, 2014. - 200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Кудрявцев Е. М. Комплексная механизация строительства; Издательство Ассоциации строительных вузов - Москва, 2013. - 424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Ланге О.К. Гидрогеология на службе социалистического строительства; Книга по Требованию - Москва, 2013. - 267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Майер, Генрих Закономерность в общественной жизни. Теория статистического метода. Статистика народонаселения. Нравственная статистика; М.: Типография И.Д. Сытина - Москва, 2013. - 482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Обущенко Т. Н. Финансы строительства; Форум - Москва, 2013. - 560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Пермяков В. Б. Комплексная механизация строительства; Высшая школа - Москва, 2014. - 384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Плотников А. Н. Экономика строительства; Альфа-М, Инфра-М - Москва, 2014. - 288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Под редакцией Бузырева В. В. Экономика строительства; Питер - Москва, 2014. - 416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Под редакцией Степанова И. С. Экономика строительства; Юрайт - Москва, 2014. - 624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Симонов Евгений Большая книга строительства и ремонта; Питер - Москва, 2013. - 416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Синельников В. С. Энциклопедия загородного строительства; Эксмо - Москва, 2013. - 512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Соколов Г. К. Технология и организация строительства; Академия, Образовательно-издательский центр "Академия" - Москва, 2013. - 528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Соколов Г. К. Технология и организация строительства; Академия - Москва, 2013. - 528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Трушкевич А. И. Организация проектирования и строительства; Вышэйшая </w:t>
      </w:r>
      <w:r>
        <w:rPr>
          <w:rFonts w:ascii="Times New Roman CYR" w:hAnsi="Times New Roman CYR" w:cs="Times New Roman CYR"/>
          <w:sz w:val="28"/>
          <w:szCs w:val="28"/>
        </w:rPr>
        <w:lastRenderedPageBreak/>
        <w:t>школа - Москва, 2014. - 480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Шухман Ю. И. Технологии малого строительства; Аделант - Москва, 2014. - 200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Яковлев Р. Н. Новые методы строительства; Аделант - Москва, 2013. - 480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Янсон Ю.Э. Сравнительная статистика России и западно-европейских государств. Том 2 Промышленность и торговля. Отдел 1. Статистика сельского хозяйства; Книга по Требованию - Москва, 2014. - 675 c.</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Михненков О.В., Куприянов Н.С. Менеджмент в строительстве. - М.: Книжный мир, 2011. - 464 с.</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Плотников А.Н. Финансирование инновационной деятельности в строительстве. - М.: Форум, 2012. - 144 с.</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Бачурина С.С., Ресин В.И., Трайнев В.А. Стратегия корпоративного менеджмента в градостроительстве. - М.: Дашков и Ко, 2010. - 512 с.</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Авилова, И. П. Экономика. - Белгород : Изд-во БГТУ им. В. Г. Шухова, 2010. - 123 с.</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Авилова, И. П. Методы анализа наилучшего варианта использования объекта недвижимости. - Белгород : Изд-во БГТУ им. В. Г. Шухова, 2011. - 79 с.</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Авилова, И. П. Оценка экономической эффективности инвестиционно-строительных проектов. - Белгород : Изд-во БГТУ им. В. Г. Шухова, 2009. - 147 с.</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Основы управления недвижимостью: учеб.пособие / П. Г. Грабовый [и др.]. - Белгород : Изд-во БГТУ им. В. Г. Шухова, 2011. - 138 с.</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Бланк И.А. Основы финансового менеджмента. Т. 2. - Киев: Ника-Центр, 2012.</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Алабугин А. А. Инструментарий формирования механизма адаптации и устойчивого развития предприятий. Монография. / Алабугин А. А.- Челябинск: ЮУРГУ, 2010.</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Кондратьева Е.В. Комплексная оценка экономической устойчивости </w:t>
      </w:r>
      <w:r>
        <w:rPr>
          <w:rFonts w:ascii="Times New Roman CYR" w:hAnsi="Times New Roman CYR" w:cs="Times New Roman CYR"/>
          <w:sz w:val="28"/>
          <w:szCs w:val="28"/>
        </w:rPr>
        <w:lastRenderedPageBreak/>
        <w:t>промышленного предприятия: автореф. канд. экон. наук. Челябинск, 2011. - С. 12.</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Петров А.А. «Стратегическое управление организационно-экономической устойчивостью предпринимательских структур» // По пути к возрождению: переход России на инновационный путь развития: Научн. тр. Российской научно-практической конференции - СПб.: АНО «ИПЭВ», 2012. - 310 с.</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Полищук О.А. Теоретико-методологические основы оценки экономической устойчивости предприятий // Экономика: проблемытеории и практики. - 2011. - № 225. - С. 369.</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Каплан, Е.Л. Управление строительной компанией в условиях перехода строительной отрасли к саморегулированию: дис. насоиск. учен. ст. к.э.н. - СПб., 2009. -29 с.</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Вершинин, В.Р. Деятельность подрядчика в условиях саморегулирования строительства. - Новосибирск: НГАСУ, 2009. - 256 с.</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Саморегулирование в строительной сфере/ Л. С. Баринова, М. Ю. Викторов, А.Н. Ларионов и др.; под ред. М.Ю. Викторова. - М.: Изд-во ООО "ИМКА-Медиа", 2010. - 508 с.</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Национальное Объединение Строителей [Электронный ресурс]. URL: http://www.nostroy.ru/ (дата обращения: 11.08.2014)</w:t>
      </w:r>
    </w:p>
    <w:p w:rsidR="00BC46F9" w:rsidRPr="00335A72" w:rsidRDefault="00BC46F9">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335A72">
        <w:rPr>
          <w:rFonts w:ascii="Times New Roman CYR" w:hAnsi="Times New Roman CYR" w:cs="Times New Roman CYR"/>
          <w:sz w:val="28"/>
          <w:szCs w:val="28"/>
          <w:lang w:val="en-US"/>
        </w:rPr>
        <w:t>. Roy, A. Cook, Jeryl L. Nelson. A conspectus of business failure forecasting [</w:t>
      </w:r>
      <w:r>
        <w:rPr>
          <w:rFonts w:ascii="Times New Roman CYR" w:hAnsi="Times New Roman CYR" w:cs="Times New Roman CYR"/>
          <w:sz w:val="28"/>
          <w:szCs w:val="28"/>
        </w:rPr>
        <w:t>Электронныйресурс</w:t>
      </w:r>
      <w:r w:rsidRPr="00335A72">
        <w:rPr>
          <w:rFonts w:ascii="Times New Roman CYR" w:hAnsi="Times New Roman CYR" w:cs="Times New Roman CYR"/>
          <w:sz w:val="28"/>
          <w:szCs w:val="28"/>
          <w:lang w:val="en-US"/>
        </w:rPr>
        <w:t>].URL: http://www.trinity.edu/rjensen/acct5341/1998sp/gibson/bankrupt.htm (</w:t>
      </w:r>
      <w:r>
        <w:rPr>
          <w:rFonts w:ascii="Times New Roman CYR" w:hAnsi="Times New Roman CYR" w:cs="Times New Roman CYR"/>
          <w:sz w:val="28"/>
          <w:szCs w:val="28"/>
        </w:rPr>
        <w:t>дата</w:t>
      </w:r>
      <w:r w:rsidRPr="00335A72">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обращения</w:t>
      </w:r>
      <w:r w:rsidRPr="00335A72">
        <w:rPr>
          <w:rFonts w:ascii="Times New Roman CYR" w:hAnsi="Times New Roman CYR" w:cs="Times New Roman CYR"/>
          <w:sz w:val="28"/>
          <w:szCs w:val="28"/>
          <w:lang w:val="en-US"/>
        </w:rPr>
        <w:t>: 24.08.2013)</w:t>
      </w:r>
    </w:p>
    <w:p w:rsidR="00BC46F9" w:rsidRPr="00335A72" w:rsidRDefault="00BC46F9">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335A72">
        <w:rPr>
          <w:rFonts w:ascii="Times New Roman CYR" w:hAnsi="Times New Roman CYR" w:cs="Times New Roman CYR"/>
          <w:sz w:val="28"/>
          <w:szCs w:val="28"/>
          <w:lang w:val="en-US"/>
        </w:rPr>
        <w:t>. Sands&amp;Associated. Insolvency prediction [</w:t>
      </w:r>
      <w:r>
        <w:rPr>
          <w:rFonts w:ascii="Times New Roman CYR" w:hAnsi="Times New Roman CYR" w:cs="Times New Roman CYR"/>
          <w:sz w:val="28"/>
          <w:szCs w:val="28"/>
        </w:rPr>
        <w:t>Электронныйресурс</w:t>
      </w:r>
      <w:r w:rsidRPr="00335A72">
        <w:rPr>
          <w:rFonts w:ascii="Times New Roman CYR" w:hAnsi="Times New Roman CYR" w:cs="Times New Roman CYR"/>
          <w:sz w:val="28"/>
          <w:szCs w:val="28"/>
          <w:lang w:val="en-US"/>
        </w:rPr>
        <w:t>].URL: http://www.sands-trustee.com/insolart.htm (</w:t>
      </w:r>
      <w:r>
        <w:rPr>
          <w:rFonts w:ascii="Times New Roman CYR" w:hAnsi="Times New Roman CYR" w:cs="Times New Roman CYR"/>
          <w:sz w:val="28"/>
          <w:szCs w:val="28"/>
        </w:rPr>
        <w:t>дата</w:t>
      </w:r>
      <w:r w:rsidRPr="00335A72">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обращения</w:t>
      </w:r>
      <w:r w:rsidRPr="00335A72">
        <w:rPr>
          <w:rFonts w:ascii="Times New Roman CYR" w:hAnsi="Times New Roman CYR" w:cs="Times New Roman CYR"/>
          <w:sz w:val="28"/>
          <w:szCs w:val="28"/>
          <w:lang w:val="en-US"/>
        </w:rPr>
        <w:t>: 14.08.2013)</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sidRPr="00335A72">
        <w:rPr>
          <w:rFonts w:ascii="Times New Roman CYR" w:hAnsi="Times New Roman CYR" w:cs="Times New Roman CYR"/>
          <w:sz w:val="28"/>
          <w:szCs w:val="28"/>
          <w:lang w:val="en-US"/>
        </w:rPr>
        <w:t>. United States Bankruptcy Court [</w:t>
      </w:r>
      <w:r>
        <w:rPr>
          <w:rFonts w:ascii="Times New Roman CYR" w:hAnsi="Times New Roman CYR" w:cs="Times New Roman CYR"/>
          <w:sz w:val="28"/>
          <w:szCs w:val="28"/>
        </w:rPr>
        <w:t>Электронныйресурс</w:t>
      </w:r>
      <w:r w:rsidRPr="00335A72">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URL: http://www.law.cornell.edu/uscode (дата обращения: 14.08.2013)</w:t>
      </w:r>
    </w:p>
    <w:p w:rsidR="00BC46F9" w:rsidRDefault="00BC46F9">
      <w:pPr>
        <w:widowControl w:val="0"/>
        <w:autoSpaceDE w:val="0"/>
        <w:autoSpaceDN w:val="0"/>
        <w:adjustRightInd w:val="0"/>
        <w:spacing w:after="0" w:line="360" w:lineRule="auto"/>
        <w:jc w:val="both"/>
        <w:rPr>
          <w:rFonts w:ascii="Times New Roman CYR" w:hAnsi="Times New Roman CYR" w:cs="Times New Roman CYR"/>
          <w:sz w:val="28"/>
          <w:szCs w:val="28"/>
        </w:rPr>
      </w:pPr>
      <w:r w:rsidRPr="00335A72">
        <w:rPr>
          <w:rFonts w:ascii="Times New Roman CYR" w:hAnsi="Times New Roman CYR" w:cs="Times New Roman CYR"/>
          <w:sz w:val="28"/>
          <w:szCs w:val="28"/>
          <w:lang w:val="en-US"/>
        </w:rPr>
        <w:lastRenderedPageBreak/>
        <w:t>. The eatliest known building codes[</w:t>
      </w:r>
      <w:r>
        <w:rPr>
          <w:rFonts w:ascii="Times New Roman CYR" w:hAnsi="Times New Roman CYR" w:cs="Times New Roman CYR"/>
          <w:sz w:val="28"/>
          <w:szCs w:val="28"/>
        </w:rPr>
        <w:t>Электронныйресурс</w:t>
      </w:r>
      <w:r w:rsidRPr="00335A72">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URL: http://www.gregpettersoninspections.com/hammurabi.htm (дата обращения: 07.08.2013)</w:t>
      </w:r>
    </w:p>
    <w:p w:rsidR="00BC46F9" w:rsidRDefault="00BC46F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Приложение 1</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Таблица.15. Расчет текущих затрат по проекту по улице Петухова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70"/>
        <w:gridCol w:w="1275"/>
      </w:tblGrid>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Трудоемкость строительно-монтажных работ, чел/день</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41234</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 стоимость чел/дня,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Заработная плата,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28 863 800</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Единый социальный налог (24,2%),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6 985 040</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5 195 484</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Материалы,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38 485 067</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5 870 603</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расходы,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28 863 800</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4 402 953</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 затраты (без налогов, без земли и т.д.),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96 212667</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Налоги (без НДС),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6 985 040</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15 469 040</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 затраты (без НДС),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103 197706</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Площадь участка, га.</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0,6269</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га участка,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40 000 000</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участка,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25 076 000</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3 825 153</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 тепла,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2 500 000</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381 356</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Потреб. установочная мощность электроэнергии, КВт.</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298</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1КВт электромощностей,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30 000</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покупку электромощностей,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8 940 000</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1 363 729</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тех. Условия (без НДС),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30 945 763</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создания проекта,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3 227 100</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492269</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 затраты,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164 472 353</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Непредвиденные расходы,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16 447 235</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(непредвиденные расходы),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2 508 900</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затрат,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180 919 588</w:t>
            </w:r>
          </w:p>
        </w:tc>
      </w:tr>
      <w:tr w:rsidR="00BC46F9">
        <w:trPr>
          <w:jc w:val="center"/>
        </w:trPr>
        <w:tc>
          <w:tcPr>
            <w:tcW w:w="5070"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руб.</w:t>
            </w:r>
          </w:p>
        </w:tc>
        <w:tc>
          <w:tcPr>
            <w:tcW w:w="127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27 597 903</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BC46F9" w:rsidRDefault="00BC46F9">
      <w:pPr>
        <w:widowControl w:val="0"/>
        <w:autoSpaceDE w:val="0"/>
        <w:autoSpaceDN w:val="0"/>
        <w:adjustRightInd w:val="0"/>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2</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16. Расчет экономической эффективности выполненного проекта по ул. Петухова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7"/>
        <w:gridCol w:w="7"/>
        <w:gridCol w:w="1266"/>
      </w:tblGrid>
      <w:tr w:rsidR="00BC46F9">
        <w:trPr>
          <w:jc w:val="center"/>
        </w:trPr>
        <w:tc>
          <w:tcPr>
            <w:tcW w:w="5254"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26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жилая площадь квартир, м2.</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6 500</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м2 жилой площади квартир,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35 000</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реализации от продажи квартир,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227 500 000</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Площадь нежилых помещений, м2.</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м2 площади нежилых помещений,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50 000</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реализации от продажи нежилых помещений,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50 000 000</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с НДС,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180 919 588</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Инфляция, в процентах.</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с учетом инфляции,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208 057 527</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в затратах,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31 737 589</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без НДС,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176 319 938</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сумма реализации,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277 500 000</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от продажи нежилых помещений,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7 627 119</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Реализация без НДС,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269 872 881</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к оплате в бюджет,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-24 110 470</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Расчетная прибыль,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117 663 414</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прибыль (24%),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28 239 219</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после уплаты налогов, руб.</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89 424 194</w:t>
            </w:r>
          </w:p>
        </w:tc>
      </w:tr>
      <w:tr w:rsidR="00BC46F9">
        <w:trPr>
          <w:jc w:val="center"/>
        </w:trPr>
        <w:tc>
          <w:tcPr>
            <w:tcW w:w="524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в процентах</w:t>
            </w:r>
          </w:p>
        </w:tc>
        <w:tc>
          <w:tcPr>
            <w:tcW w:w="1273" w:type="dxa"/>
            <w:gridSpan w:val="2"/>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42,98</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Приложение 3</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17. Анализ затрат при выбранной очередности строительства</w:t>
      </w:r>
    </w:p>
    <w:p w:rsidR="00BC46F9" w:rsidRDefault="00256C69">
      <w:pPr>
        <w:widowControl w:val="0"/>
        <w:autoSpaceDE w:val="0"/>
        <w:autoSpaceDN w:val="0"/>
        <w:adjustRightInd w:val="0"/>
        <w:spacing w:after="0" w:line="360" w:lineRule="auto"/>
        <w:ind w:firstLine="709"/>
        <w:jc w:val="center"/>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953000" cy="4152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4152900"/>
                    </a:xfrm>
                    <a:prstGeom prst="rect">
                      <a:avLst/>
                    </a:prstGeom>
                    <a:noFill/>
                    <a:ln>
                      <a:noFill/>
                    </a:ln>
                  </pic:spPr>
                </pic:pic>
              </a:graphicData>
            </a:graphic>
          </wp:inline>
        </w:drawing>
      </w:r>
    </w:p>
    <w:p w:rsidR="00BC46F9" w:rsidRDefault="00256C69">
      <w:pPr>
        <w:widowControl w:val="0"/>
        <w:autoSpaceDE w:val="0"/>
        <w:autoSpaceDN w:val="0"/>
        <w:adjustRightInd w:val="0"/>
        <w:spacing w:after="0" w:line="360" w:lineRule="auto"/>
        <w:ind w:firstLine="709"/>
        <w:jc w:val="center"/>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972050" cy="3152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2050" cy="3152775"/>
                    </a:xfrm>
                    <a:prstGeom prst="rect">
                      <a:avLst/>
                    </a:prstGeom>
                    <a:noFill/>
                    <a:ln>
                      <a:noFill/>
                    </a:ln>
                  </pic:spPr>
                </pic:pic>
              </a:graphicData>
            </a:graphic>
          </wp:inline>
        </w:drawing>
      </w:r>
    </w:p>
    <w:p w:rsidR="00BC46F9" w:rsidRDefault="00256C69">
      <w:pPr>
        <w:widowControl w:val="0"/>
        <w:autoSpaceDE w:val="0"/>
        <w:autoSpaceDN w:val="0"/>
        <w:adjustRightInd w:val="0"/>
        <w:spacing w:after="0" w:line="360" w:lineRule="auto"/>
        <w:ind w:firstLine="709"/>
        <w:jc w:val="center"/>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4914900" cy="4267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4267200"/>
                    </a:xfrm>
                    <a:prstGeom prst="rect">
                      <a:avLst/>
                    </a:prstGeom>
                    <a:noFill/>
                    <a:ln>
                      <a:noFill/>
                    </a:ln>
                  </pic:spPr>
                </pic:pic>
              </a:graphicData>
            </a:graphic>
          </wp:inline>
        </w:drawing>
      </w:r>
    </w:p>
    <w:p w:rsidR="00BC46F9" w:rsidRDefault="00256C69">
      <w:pPr>
        <w:widowControl w:val="0"/>
        <w:autoSpaceDE w:val="0"/>
        <w:autoSpaceDN w:val="0"/>
        <w:adjustRightInd w:val="0"/>
        <w:spacing w:after="0" w:line="360" w:lineRule="auto"/>
        <w:ind w:firstLine="709"/>
        <w:jc w:val="center"/>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962525" cy="3971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3971925"/>
                    </a:xfrm>
                    <a:prstGeom prst="rect">
                      <a:avLst/>
                    </a:prstGeom>
                    <a:noFill/>
                    <a:ln>
                      <a:noFill/>
                    </a:ln>
                  </pic:spPr>
                </pic:pic>
              </a:graphicData>
            </a:graphic>
          </wp:inline>
        </w:drawing>
      </w:r>
    </w:p>
    <w:p w:rsidR="00BC46F9" w:rsidRDefault="00256C69">
      <w:pPr>
        <w:widowControl w:val="0"/>
        <w:autoSpaceDE w:val="0"/>
        <w:autoSpaceDN w:val="0"/>
        <w:adjustRightInd w:val="0"/>
        <w:spacing w:after="0" w:line="360" w:lineRule="auto"/>
        <w:ind w:firstLine="709"/>
        <w:jc w:val="center"/>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4972050" cy="2543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2050" cy="2543175"/>
                    </a:xfrm>
                    <a:prstGeom prst="rect">
                      <a:avLst/>
                    </a:prstGeom>
                    <a:noFill/>
                    <a:ln>
                      <a:noFill/>
                    </a:ln>
                  </pic:spPr>
                </pic:pic>
              </a:graphicData>
            </a:graphic>
          </wp:inline>
        </w:drawing>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BC46F9" w:rsidRDefault="00BC46F9">
      <w:pPr>
        <w:keepNext/>
        <w:widowControl w:val="0"/>
        <w:autoSpaceDE w:val="0"/>
        <w:autoSpaceDN w:val="0"/>
        <w:adjustRightInd w:val="0"/>
        <w:spacing w:after="0" w:line="360" w:lineRule="auto"/>
        <w:ind w:firstLine="709"/>
        <w:jc w:val="both"/>
        <w:rPr>
          <w:rFonts w:ascii="Times New Roman CYR" w:hAnsi="Times New Roman CYR" w:cs="Times New Roman CYR"/>
          <w:b/>
          <w:bCs/>
          <w:kern w:val="32"/>
          <w:sz w:val="28"/>
          <w:szCs w:val="28"/>
        </w:rPr>
      </w:pPr>
      <w:r>
        <w:rPr>
          <w:rFonts w:ascii="Times New Roman CYR" w:hAnsi="Times New Roman CYR" w:cs="Times New Roman CYR"/>
          <w:b/>
          <w:bCs/>
          <w:kern w:val="32"/>
          <w:sz w:val="28"/>
          <w:szCs w:val="28"/>
        </w:rPr>
        <w:lastRenderedPageBreak/>
        <w:t>Приложение 4</w:t>
      </w:r>
    </w:p>
    <w:p w:rsidR="00BC46F9" w:rsidRDefault="00BC46F9">
      <w:pPr>
        <w:keepNext/>
        <w:widowControl w:val="0"/>
        <w:autoSpaceDE w:val="0"/>
        <w:autoSpaceDN w:val="0"/>
        <w:adjustRightInd w:val="0"/>
        <w:spacing w:after="0" w:line="360" w:lineRule="auto"/>
        <w:ind w:firstLine="709"/>
        <w:jc w:val="both"/>
        <w:rPr>
          <w:rFonts w:ascii="Times New Roman CYR" w:hAnsi="Times New Roman CYR" w:cs="Times New Roman CYR"/>
          <w:kern w:val="32"/>
          <w:sz w:val="28"/>
          <w:szCs w:val="28"/>
        </w:rPr>
      </w:pPr>
    </w:p>
    <w:p w:rsidR="00BC46F9" w:rsidRDefault="00256C6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848225" cy="19335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8225" cy="1933575"/>
                    </a:xfrm>
                    <a:prstGeom prst="rect">
                      <a:avLst/>
                    </a:prstGeom>
                    <a:noFill/>
                    <a:ln>
                      <a:noFill/>
                    </a:ln>
                  </pic:spPr>
                </pic:pic>
              </a:graphicData>
            </a:graphic>
          </wp:inline>
        </w:drawing>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Схема. Организационная структура ООО "Новоуральская промышленная компания"</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Приложение 5</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18. Перечень участников процесса управления проектом ООО "Новоуральская промышленная компания"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6"/>
        <w:gridCol w:w="1569"/>
        <w:gridCol w:w="4534"/>
        <w:gridCol w:w="4397"/>
      </w:tblGrid>
      <w:tr w:rsidR="00BC46F9">
        <w:trPr>
          <w:jc w:val="center"/>
        </w:trPr>
        <w:tc>
          <w:tcPr>
            <w:tcW w:w="509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Участник</w:t>
            </w:r>
          </w:p>
        </w:tc>
        <w:tc>
          <w:tcPr>
            <w:tcW w:w="156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Функции</w:t>
            </w:r>
          </w:p>
        </w:tc>
        <w:tc>
          <w:tcPr>
            <w:tcW w:w="453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Полномочия</w:t>
            </w:r>
          </w:p>
        </w:tc>
        <w:tc>
          <w:tcPr>
            <w:tcW w:w="439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Зона ответственности</w:t>
            </w:r>
          </w:p>
        </w:tc>
      </w:tr>
      <w:tr w:rsidR="00BC46F9">
        <w:trPr>
          <w:jc w:val="center"/>
        </w:trPr>
        <w:tc>
          <w:tcPr>
            <w:tcW w:w="509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Инициатор</w:t>
            </w:r>
          </w:p>
        </w:tc>
        <w:tc>
          <w:tcPr>
            <w:tcW w:w="156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Запуск процесса, который может завершиться санкционированием нового проекта - Подготовка проектной инициативы, предварительного бюджета и календарного плана</w:t>
            </w:r>
          </w:p>
        </w:tc>
        <w:tc>
          <w:tcPr>
            <w:tcW w:w="453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Выносить проектную инициативу на рассмотрение проектного комитета; - Формировать информационные запросы функциональным подразделениям для корректного оформления проектной инициативы</w:t>
            </w:r>
          </w:p>
        </w:tc>
        <w:tc>
          <w:tcPr>
            <w:tcW w:w="439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Правильность заполнения инициирующих проект документов и объективность оценок в предварительных расчетах Получение решения проектного комитета по инициируемому проекту Утверждение приказа о запуске проекта</w:t>
            </w:r>
          </w:p>
        </w:tc>
      </w:tr>
      <w:tr w:rsidR="00BC46F9">
        <w:trPr>
          <w:jc w:val="center"/>
        </w:trPr>
        <w:tc>
          <w:tcPr>
            <w:tcW w:w="509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Внутренний Заказчик</w:t>
            </w:r>
          </w:p>
        </w:tc>
        <w:tc>
          <w:tcPr>
            <w:tcW w:w="156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Определение и утверждение вех и результатов проекта Утверждение </w:t>
            </w:r>
            <w:r>
              <w:rPr>
                <w:rFonts w:ascii="Times New Roman CYR" w:hAnsi="Times New Roman CYR" w:cs="Times New Roman CYR"/>
                <w:sz w:val="20"/>
                <w:szCs w:val="20"/>
              </w:rPr>
              <w:lastRenderedPageBreak/>
              <w:t>ТЗ и ПСД проекта, устава, графика финансирования Общий надзор и анализ рез. проектной дятел.</w:t>
            </w:r>
          </w:p>
        </w:tc>
        <w:tc>
          <w:tcPr>
            <w:tcW w:w="453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Заключение договоров с контрагентами; - Утверждение лимитов финансирования проекта, прочих ограничений - Утверждение состава команды проекта - Распр. мотивационного фонда проекта</w:t>
            </w:r>
          </w:p>
        </w:tc>
        <w:tc>
          <w:tcPr>
            <w:tcW w:w="439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Разрешение спорных вопросов (арбитражные функции) Приемка результатов проекта</w:t>
            </w:r>
          </w:p>
        </w:tc>
      </w:tr>
      <w:tr w:rsidR="00BC46F9">
        <w:trPr>
          <w:jc w:val="center"/>
        </w:trPr>
        <w:tc>
          <w:tcPr>
            <w:tcW w:w="509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Проектный комитет</w:t>
            </w:r>
          </w:p>
        </w:tc>
        <w:tc>
          <w:tcPr>
            <w:tcW w:w="156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Коллегиальное принятие решений по портфелю и программам проектов (в т.ч. о запуске и закрытии); - Анализ результатов выполнения программ и портфелей проектов</w:t>
            </w:r>
          </w:p>
        </w:tc>
        <w:tc>
          <w:tcPr>
            <w:tcW w:w="453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Подготовка решений на утверждение внутреннего заказчика, обязательных к исполнению всеми членами команды проекта - Внесение изменений в проект (в завис. от категории проекта и уровня изменений)</w:t>
            </w:r>
          </w:p>
        </w:tc>
        <w:tc>
          <w:tcPr>
            <w:tcW w:w="439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Контроль сроков, бюджета и качества исполнения портфеля и программы проектов</w:t>
            </w:r>
          </w:p>
        </w:tc>
      </w:tr>
      <w:tr w:rsidR="00BC46F9">
        <w:trPr>
          <w:jc w:val="center"/>
        </w:trPr>
        <w:tc>
          <w:tcPr>
            <w:tcW w:w="509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Руководитель проектного офиса</w:t>
            </w:r>
          </w:p>
        </w:tc>
        <w:tc>
          <w:tcPr>
            <w:tcW w:w="156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Контроль исполнения процессов управления проектами (УП) - Развитие методологии УП; - Обеспечение работы проектного офиса - Формирование аналитических отчетов о состоянии портфеля проектов - Контроль исп. Реш. проектного комитета</w:t>
            </w:r>
          </w:p>
        </w:tc>
        <w:tc>
          <w:tcPr>
            <w:tcW w:w="453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Предлагать Заказчику меры дисцип. воздействия на руководителей проектов - Выносить на внутреннего заказчика предложения и представления - Контролировать работу проектного комитета</w:t>
            </w:r>
          </w:p>
        </w:tc>
        <w:tc>
          <w:tcPr>
            <w:tcW w:w="439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Обучение руководителей и администраторов проектов , членов команды проекта Качество работы проектного комитета Качество работы администраторов проекта</w:t>
            </w:r>
          </w:p>
        </w:tc>
      </w:tr>
      <w:tr w:rsidR="00BC46F9">
        <w:trPr>
          <w:jc w:val="center"/>
        </w:trPr>
        <w:tc>
          <w:tcPr>
            <w:tcW w:w="509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Куратор проекта</w:t>
            </w:r>
          </w:p>
        </w:tc>
        <w:tc>
          <w:tcPr>
            <w:tcW w:w="156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Принятие решений по стратегическим вопросам реализации </w:t>
            </w:r>
            <w:r>
              <w:rPr>
                <w:rFonts w:ascii="Times New Roman CYR" w:hAnsi="Times New Roman CYR" w:cs="Times New Roman CYR"/>
                <w:sz w:val="20"/>
                <w:szCs w:val="20"/>
              </w:rPr>
              <w:lastRenderedPageBreak/>
              <w:t>проектов - Форм. предложений по команде проекта - Обеспечение проекта ресурсами - Общая поддержка проекта</w:t>
            </w:r>
          </w:p>
        </w:tc>
        <w:tc>
          <w:tcPr>
            <w:tcW w:w="453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Согласование предложений по составу команды проекта - Внесение изменений в проект (в зависимости от категории проекта и уровня изменений)</w:t>
            </w:r>
          </w:p>
        </w:tc>
        <w:tc>
          <w:tcPr>
            <w:tcW w:w="439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Обеспеченность проекта ресурсами (финансы, персонал, материалы и технические средства) Контроль основных вех проекта</w:t>
            </w:r>
          </w:p>
        </w:tc>
      </w:tr>
      <w:tr w:rsidR="00BC46F9">
        <w:trPr>
          <w:jc w:val="center"/>
        </w:trPr>
        <w:tc>
          <w:tcPr>
            <w:tcW w:w="509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Руководитель проекта</w:t>
            </w:r>
          </w:p>
        </w:tc>
        <w:tc>
          <w:tcPr>
            <w:tcW w:w="156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Разработка Устава и кал. плана проекта - Формирование предложений по составу команды проекта - Оперативное управление проектом; - Постановка и контроль выполнения задач командой проекта - Операт. взаим. с Внешним Заказчиком - Подготовка регулярной отчетности - Мотивация команды проекта</w:t>
            </w:r>
          </w:p>
        </w:tc>
        <w:tc>
          <w:tcPr>
            <w:tcW w:w="453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Пост. задач членам команды проекта - Перераспределение ресурсов проекта - Внесение изменений в проект (в зависимости от категории проекта и уровня изменений) - Вынесение предложений вышестоящим органам о внесении изменений в проект - Принятие мер по мотивации команды в утвержденных рамках</w:t>
            </w:r>
          </w:p>
        </w:tc>
        <w:tc>
          <w:tcPr>
            <w:tcW w:w="439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Достижение запланированных результатов проекта Соблюдение сроков выполнения работ календарного плана (показатели 1.1-1.3) Контроль расходов бюджета проекта (показатели 2.3-2.6) Качество выпол. работ (показатели 3.1-3.4) Контроль работы подрядчиков Контроль выполнения договоров (с внешним Заказчиком и подрядчиками)</w:t>
            </w:r>
          </w:p>
        </w:tc>
      </w:tr>
      <w:tr w:rsidR="00BC46F9">
        <w:trPr>
          <w:jc w:val="center"/>
        </w:trPr>
        <w:tc>
          <w:tcPr>
            <w:tcW w:w="509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Администратор проекта</w:t>
            </w:r>
          </w:p>
        </w:tc>
        <w:tc>
          <w:tcPr>
            <w:tcW w:w="156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12"/>
                <w:szCs w:val="12"/>
              </w:rPr>
              <w:t xml:space="preserve">- </w:t>
            </w:r>
            <w:r>
              <w:rPr>
                <w:rFonts w:ascii="Times New Roman CYR" w:hAnsi="Times New Roman CYR" w:cs="Times New Roman CYR"/>
                <w:sz w:val="20"/>
                <w:szCs w:val="20"/>
              </w:rPr>
              <w:t xml:space="preserve">Оформление и корректировка календ. плана и уставных документов проекта </w:t>
            </w:r>
            <w:r>
              <w:rPr>
                <w:rFonts w:ascii="Times New Roman CYR" w:hAnsi="Times New Roman CYR" w:cs="Times New Roman CYR"/>
                <w:sz w:val="12"/>
                <w:szCs w:val="12"/>
              </w:rPr>
              <w:t xml:space="preserve">- </w:t>
            </w:r>
            <w:r>
              <w:rPr>
                <w:rFonts w:ascii="Times New Roman CYR" w:hAnsi="Times New Roman CYR" w:cs="Times New Roman CYR"/>
                <w:sz w:val="20"/>
                <w:szCs w:val="20"/>
              </w:rPr>
              <w:t xml:space="preserve">Мониторинг выполнения календарного плана, выяснение причин отклонений, подготовка </w:t>
            </w:r>
            <w:r>
              <w:rPr>
                <w:rFonts w:ascii="Times New Roman CYR" w:hAnsi="Times New Roman CYR" w:cs="Times New Roman CYR"/>
                <w:sz w:val="20"/>
                <w:szCs w:val="20"/>
              </w:rPr>
              <w:lastRenderedPageBreak/>
              <w:t xml:space="preserve">предложений для РП по принятию решений </w:t>
            </w:r>
            <w:r>
              <w:rPr>
                <w:rFonts w:ascii="Times New Roman CYR" w:hAnsi="Times New Roman CYR" w:cs="Times New Roman CYR"/>
                <w:sz w:val="12"/>
                <w:szCs w:val="12"/>
              </w:rPr>
              <w:t xml:space="preserve">- </w:t>
            </w:r>
            <w:r>
              <w:rPr>
                <w:rFonts w:ascii="Times New Roman CYR" w:hAnsi="Times New Roman CYR" w:cs="Times New Roman CYR"/>
                <w:sz w:val="20"/>
                <w:szCs w:val="20"/>
              </w:rPr>
              <w:t xml:space="preserve">Формирование архива проекта </w:t>
            </w:r>
            <w:r>
              <w:rPr>
                <w:rFonts w:ascii="Times New Roman CYR" w:hAnsi="Times New Roman CYR" w:cs="Times New Roman CYR"/>
                <w:sz w:val="12"/>
                <w:szCs w:val="12"/>
              </w:rPr>
              <w:t xml:space="preserve">- </w:t>
            </w:r>
            <w:r>
              <w:rPr>
                <w:rFonts w:ascii="Times New Roman CYR" w:hAnsi="Times New Roman CYR" w:cs="Times New Roman CYR"/>
                <w:sz w:val="20"/>
                <w:szCs w:val="20"/>
              </w:rPr>
              <w:t xml:space="preserve">Орг. и протоколи. рабочих совещаний </w:t>
            </w:r>
            <w:r>
              <w:rPr>
                <w:rFonts w:ascii="Times New Roman CYR" w:hAnsi="Times New Roman CYR" w:cs="Times New Roman CYR"/>
                <w:sz w:val="12"/>
                <w:szCs w:val="12"/>
              </w:rPr>
              <w:t xml:space="preserve">- </w:t>
            </w:r>
            <w:r>
              <w:rPr>
                <w:rFonts w:ascii="Times New Roman CYR" w:hAnsi="Times New Roman CYR" w:cs="Times New Roman CYR"/>
                <w:sz w:val="20"/>
                <w:szCs w:val="20"/>
              </w:rPr>
              <w:t>Информирование руководителя проектного офиса о нар. технологии управления проектами</w:t>
            </w:r>
          </w:p>
        </w:tc>
        <w:tc>
          <w:tcPr>
            <w:tcW w:w="453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12"/>
                <w:szCs w:val="12"/>
              </w:rPr>
              <w:lastRenderedPageBreak/>
              <w:t xml:space="preserve">- </w:t>
            </w:r>
            <w:r>
              <w:rPr>
                <w:rFonts w:ascii="Times New Roman CYR" w:hAnsi="Times New Roman CYR" w:cs="Times New Roman CYR"/>
                <w:sz w:val="20"/>
                <w:szCs w:val="20"/>
              </w:rPr>
              <w:t xml:space="preserve">Требовать информацию от членов команды проекта о состоянии дел по проекту </w:t>
            </w:r>
          </w:p>
        </w:tc>
        <w:tc>
          <w:tcPr>
            <w:tcW w:w="439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Регулярный мониторинг проекта Соблюдение плана коммуникаций между членами команды проекта Соблюдение регламента документооборота проекта (показатели 3.5-3.6) Своевр. и полнота занесения данных в ИСУП Контроль соблюдения технологии управления проектом</w:t>
            </w:r>
          </w:p>
        </w:tc>
      </w:tr>
      <w:tr w:rsidR="00BC46F9">
        <w:trPr>
          <w:jc w:val="center"/>
        </w:trPr>
        <w:tc>
          <w:tcPr>
            <w:tcW w:w="509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Прочие участники команды проекта (функциональные специалисты)</w:t>
            </w:r>
          </w:p>
        </w:tc>
        <w:tc>
          <w:tcPr>
            <w:tcW w:w="156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Участие в реализации проекта в рамках прямых функциональных обязанностей; - Обеспечение участников проекта полной и своевременной информацией о состоянии дел в вверенной области</w:t>
            </w:r>
          </w:p>
        </w:tc>
        <w:tc>
          <w:tcPr>
            <w:tcW w:w="453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Формировать запросы на предоставление информации от членов команды проекта и запросы на изменения </w:t>
            </w:r>
          </w:p>
        </w:tc>
        <w:tc>
          <w:tcPr>
            <w:tcW w:w="4397"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соответствии с прямыми функциональными обязанностями Выполнение работ в рамках утвержденного регламента УП</w:t>
            </w:r>
          </w:p>
        </w:tc>
      </w:tr>
    </w:tbl>
    <w:p w:rsidR="00BC46F9" w:rsidRDefault="00BC46F9">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6</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19. Требования к знаниям, навыкам и личным качествам основных членов команды проекта ООО "Новоуральская промышленная компания"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83"/>
        <w:gridCol w:w="1213"/>
        <w:gridCol w:w="3969"/>
        <w:gridCol w:w="3544"/>
      </w:tblGrid>
      <w:tr w:rsidR="00BC46F9">
        <w:trPr>
          <w:jc w:val="center"/>
        </w:trPr>
        <w:tc>
          <w:tcPr>
            <w:tcW w:w="5183"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Участник</w:t>
            </w:r>
          </w:p>
        </w:tc>
        <w:tc>
          <w:tcPr>
            <w:tcW w:w="121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Знания</w:t>
            </w:r>
          </w:p>
        </w:tc>
        <w:tc>
          <w:tcPr>
            <w:tcW w:w="396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Навыки</w:t>
            </w:r>
          </w:p>
        </w:tc>
        <w:tc>
          <w:tcPr>
            <w:tcW w:w="354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Личные качества</w:t>
            </w:r>
          </w:p>
        </w:tc>
      </w:tr>
      <w:tr w:rsidR="00BC46F9">
        <w:trPr>
          <w:jc w:val="center"/>
        </w:trPr>
        <w:tc>
          <w:tcPr>
            <w:tcW w:w="5183"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Руководитель проекта</w:t>
            </w:r>
          </w:p>
        </w:tc>
        <w:tc>
          <w:tcPr>
            <w:tcW w:w="121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Целеполагание - Планирование и контроль проекта - Принципы работы с командой - Осн. стандарты по управлению проектами - Теории мотивации - Проведение совещаний</w:t>
            </w:r>
          </w:p>
        </w:tc>
        <w:tc>
          <w:tcPr>
            <w:tcW w:w="396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Лидерство - Принятие решений - Убеждающая коммуникация - Ведение переговоров - Поиск и анализ различных альтернатив - Разрешение конфликтов и проблем - Самоконтроль</w:t>
            </w:r>
          </w:p>
        </w:tc>
        <w:tc>
          <w:tcPr>
            <w:tcW w:w="354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Ориентация на результат, а не на процесс - Настойчивость - Инициативность - Гибкость - Этичность</w:t>
            </w:r>
          </w:p>
        </w:tc>
      </w:tr>
      <w:tr w:rsidR="00BC46F9">
        <w:trPr>
          <w:jc w:val="center"/>
        </w:trPr>
        <w:tc>
          <w:tcPr>
            <w:tcW w:w="5183"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Администратор проекта</w:t>
            </w:r>
          </w:p>
        </w:tc>
        <w:tc>
          <w:tcPr>
            <w:tcW w:w="121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Планирование и контроль проекта - Организация проектной отчетности - Принципы проектного документооборота - Подготовка решений</w:t>
            </w:r>
          </w:p>
        </w:tc>
        <w:tc>
          <w:tcPr>
            <w:tcW w:w="396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Решение административных задач - Убеждающая коммуникация - Организация совещаний</w:t>
            </w:r>
          </w:p>
        </w:tc>
        <w:tc>
          <w:tcPr>
            <w:tcW w:w="354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Пунктуальность - Ответственность - Аккуратность - Требовательность</w:t>
            </w:r>
          </w:p>
        </w:tc>
      </w:tr>
      <w:tr w:rsidR="00BC46F9">
        <w:trPr>
          <w:jc w:val="center"/>
        </w:trPr>
        <w:tc>
          <w:tcPr>
            <w:tcW w:w="5183"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Функциональный специалист</w:t>
            </w:r>
          </w:p>
        </w:tc>
        <w:tc>
          <w:tcPr>
            <w:tcW w:w="121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Предметные </w:t>
            </w:r>
            <w:r>
              <w:rPr>
                <w:rFonts w:ascii="Times New Roman CYR" w:hAnsi="Times New Roman CYR" w:cs="Times New Roman CYR"/>
                <w:sz w:val="20"/>
                <w:szCs w:val="20"/>
              </w:rPr>
              <w:lastRenderedPageBreak/>
              <w:t>функциональные знания - Основы управления проектами - Планирование функциональных задач - Принципы отчетности</w:t>
            </w:r>
          </w:p>
        </w:tc>
        <w:tc>
          <w:tcPr>
            <w:tcW w:w="396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Командная работа - Работа в матричных структурах</w:t>
            </w:r>
          </w:p>
        </w:tc>
        <w:tc>
          <w:tcPr>
            <w:tcW w:w="3544"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Исполнительность - Бесконфликтность - Гибкость</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Приложение 7</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20. Порядок назначения ролей в управлении проектом ООО "Новоуральская промышленная компания"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6"/>
        <w:gridCol w:w="236"/>
        <w:gridCol w:w="236"/>
        <w:gridCol w:w="1629"/>
        <w:gridCol w:w="1843"/>
        <w:gridCol w:w="2835"/>
        <w:gridCol w:w="2682"/>
      </w:tblGrid>
      <w:tr w:rsidR="00BC46F9">
        <w:trPr>
          <w:jc w:val="center"/>
        </w:trPr>
        <w:tc>
          <w:tcPr>
            <w:tcW w:w="573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1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Роль</w:t>
            </w:r>
          </w:p>
        </w:tc>
        <w:tc>
          <w:tcPr>
            <w:tcW w:w="2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 состава какого подразделения назначаетс</w:t>
            </w:r>
            <w:r>
              <w:rPr>
                <w:rFonts w:ascii="Times New Roman CYR" w:hAnsi="Times New Roman CYR" w:cs="Times New Roman CYR"/>
                <w:sz w:val="20"/>
                <w:szCs w:val="20"/>
              </w:rPr>
              <w:lastRenderedPageBreak/>
              <w:t>я</w:t>
            </w:r>
          </w:p>
        </w:tc>
        <w:tc>
          <w:tcPr>
            <w:tcW w:w="162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Кто назначает</w:t>
            </w:r>
          </w:p>
        </w:tc>
        <w:tc>
          <w:tcPr>
            <w:tcW w:w="184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Кто согласовывает назначение</w:t>
            </w:r>
          </w:p>
        </w:tc>
        <w:tc>
          <w:tcPr>
            <w:tcW w:w="28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Где фиксируется назначение</w:t>
            </w:r>
          </w:p>
        </w:tc>
        <w:tc>
          <w:tcPr>
            <w:tcW w:w="268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назначения</w:t>
            </w:r>
          </w:p>
        </w:tc>
      </w:tr>
      <w:tr w:rsidR="00BC46F9">
        <w:trPr>
          <w:jc w:val="center"/>
        </w:trPr>
        <w:tc>
          <w:tcPr>
            <w:tcW w:w="573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1</w:t>
            </w:r>
          </w:p>
        </w:tc>
        <w:tc>
          <w:tcPr>
            <w:tcW w:w="21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Заказчик </w:t>
            </w:r>
          </w:p>
        </w:tc>
        <w:tc>
          <w:tcPr>
            <w:tcW w:w="2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ГД</w:t>
            </w:r>
          </w:p>
        </w:tc>
        <w:tc>
          <w:tcPr>
            <w:tcW w:w="162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8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68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BC46F9">
        <w:trPr>
          <w:jc w:val="center"/>
        </w:trPr>
        <w:tc>
          <w:tcPr>
            <w:tcW w:w="573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1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Члены проектного комитета</w:t>
            </w:r>
          </w:p>
        </w:tc>
        <w:tc>
          <w:tcPr>
            <w:tcW w:w="2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Заместители ГД</w:t>
            </w:r>
          </w:p>
        </w:tc>
        <w:tc>
          <w:tcPr>
            <w:tcW w:w="162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Генеральный директор</w:t>
            </w:r>
          </w:p>
        </w:tc>
        <w:tc>
          <w:tcPr>
            <w:tcW w:w="184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требуется</w:t>
            </w:r>
          </w:p>
        </w:tc>
        <w:tc>
          <w:tcPr>
            <w:tcW w:w="28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Приказ о составе ПК</w:t>
            </w:r>
          </w:p>
        </w:tc>
        <w:tc>
          <w:tcPr>
            <w:tcW w:w="268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BC46F9">
        <w:trPr>
          <w:jc w:val="center"/>
        </w:trPr>
        <w:tc>
          <w:tcPr>
            <w:tcW w:w="573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1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 Проект. оф</w:t>
            </w:r>
            <w:r>
              <w:rPr>
                <w:rFonts w:ascii="Times New Roman CYR" w:hAnsi="Times New Roman CYR" w:cs="Times New Roman CYR"/>
                <w:sz w:val="20"/>
                <w:szCs w:val="20"/>
              </w:rPr>
              <w:lastRenderedPageBreak/>
              <w:t>иса</w:t>
            </w:r>
          </w:p>
        </w:tc>
        <w:tc>
          <w:tcPr>
            <w:tcW w:w="2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Штатная должнос</w:t>
            </w:r>
            <w:r>
              <w:rPr>
                <w:rFonts w:ascii="Times New Roman CYR" w:hAnsi="Times New Roman CYR" w:cs="Times New Roman CYR"/>
                <w:sz w:val="20"/>
                <w:szCs w:val="20"/>
              </w:rPr>
              <w:lastRenderedPageBreak/>
              <w:t>ть</w:t>
            </w:r>
          </w:p>
        </w:tc>
        <w:tc>
          <w:tcPr>
            <w:tcW w:w="162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Ген. директор</w:t>
            </w:r>
          </w:p>
        </w:tc>
        <w:tc>
          <w:tcPr>
            <w:tcW w:w="184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требуется</w:t>
            </w:r>
          </w:p>
        </w:tc>
        <w:tc>
          <w:tcPr>
            <w:tcW w:w="28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Приказ о приеме на работу</w:t>
            </w:r>
          </w:p>
        </w:tc>
        <w:tc>
          <w:tcPr>
            <w:tcW w:w="268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BC46F9">
        <w:trPr>
          <w:jc w:val="center"/>
        </w:trPr>
        <w:tc>
          <w:tcPr>
            <w:tcW w:w="573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4</w:t>
            </w:r>
          </w:p>
        </w:tc>
        <w:tc>
          <w:tcPr>
            <w:tcW w:w="21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Куратор проекта</w:t>
            </w:r>
          </w:p>
        </w:tc>
        <w:tc>
          <w:tcPr>
            <w:tcW w:w="2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Члены ПК, начальники отделов</w:t>
            </w:r>
          </w:p>
        </w:tc>
        <w:tc>
          <w:tcPr>
            <w:tcW w:w="162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Генеральный директор</w:t>
            </w:r>
          </w:p>
        </w:tc>
        <w:tc>
          <w:tcPr>
            <w:tcW w:w="184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требуется</w:t>
            </w:r>
          </w:p>
        </w:tc>
        <w:tc>
          <w:tcPr>
            <w:tcW w:w="28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Приказ о запуске проекта</w:t>
            </w:r>
          </w:p>
        </w:tc>
        <w:tc>
          <w:tcPr>
            <w:tcW w:w="268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Фаза проекта «Концепция»</w:t>
            </w:r>
          </w:p>
        </w:tc>
      </w:tr>
      <w:tr w:rsidR="00BC46F9">
        <w:trPr>
          <w:jc w:val="center"/>
        </w:trPr>
        <w:tc>
          <w:tcPr>
            <w:tcW w:w="573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1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Руководитель проект</w:t>
            </w:r>
            <w:r>
              <w:rPr>
                <w:rFonts w:ascii="Times New Roman CYR" w:hAnsi="Times New Roman CYR" w:cs="Times New Roman CYR"/>
                <w:sz w:val="20"/>
                <w:szCs w:val="20"/>
              </w:rPr>
              <w:lastRenderedPageBreak/>
              <w:t>а</w:t>
            </w:r>
          </w:p>
        </w:tc>
        <w:tc>
          <w:tcPr>
            <w:tcW w:w="2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Категория 1: штатны</w:t>
            </w:r>
            <w:r>
              <w:rPr>
                <w:rFonts w:ascii="Times New Roman CYR" w:hAnsi="Times New Roman CYR" w:cs="Times New Roman CYR"/>
                <w:sz w:val="20"/>
                <w:szCs w:val="20"/>
              </w:rPr>
              <w:lastRenderedPageBreak/>
              <w:t>й рук. проекта; Категории 2 и 3: специалист отдела</w:t>
            </w:r>
            <w:r>
              <w:rPr>
                <w:rFonts w:ascii="Times New Roman CYR" w:hAnsi="Times New Roman CYR" w:cs="Times New Roman CYR"/>
                <w:sz w:val="20"/>
                <w:szCs w:val="20"/>
              </w:rPr>
              <w:lastRenderedPageBreak/>
              <w:t xml:space="preserve"> подготовки производства</w:t>
            </w:r>
          </w:p>
        </w:tc>
        <w:tc>
          <w:tcPr>
            <w:tcW w:w="162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Генеральный директор</w:t>
            </w:r>
          </w:p>
        </w:tc>
        <w:tc>
          <w:tcPr>
            <w:tcW w:w="184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Куратор проекта</w:t>
            </w:r>
          </w:p>
        </w:tc>
        <w:tc>
          <w:tcPr>
            <w:tcW w:w="28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Приказ о запуске проекта</w:t>
            </w:r>
          </w:p>
        </w:tc>
        <w:tc>
          <w:tcPr>
            <w:tcW w:w="268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Фаза проекта «Концепция»</w:t>
            </w:r>
          </w:p>
        </w:tc>
      </w:tr>
      <w:tr w:rsidR="00BC46F9">
        <w:trPr>
          <w:jc w:val="center"/>
        </w:trPr>
        <w:tc>
          <w:tcPr>
            <w:tcW w:w="573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6</w:t>
            </w:r>
          </w:p>
        </w:tc>
        <w:tc>
          <w:tcPr>
            <w:tcW w:w="21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Администратор проекта</w:t>
            </w:r>
          </w:p>
        </w:tc>
        <w:tc>
          <w:tcPr>
            <w:tcW w:w="2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Штатная должность ПО</w:t>
            </w:r>
          </w:p>
        </w:tc>
        <w:tc>
          <w:tcPr>
            <w:tcW w:w="162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Генеральный директор</w:t>
            </w:r>
          </w:p>
        </w:tc>
        <w:tc>
          <w:tcPr>
            <w:tcW w:w="184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Куратор проекта, Руков. проекта</w:t>
            </w:r>
          </w:p>
        </w:tc>
        <w:tc>
          <w:tcPr>
            <w:tcW w:w="28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Приказ о запуске проекта </w:t>
            </w:r>
          </w:p>
        </w:tc>
        <w:tc>
          <w:tcPr>
            <w:tcW w:w="268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Фаза проекта «Концепция»</w:t>
            </w:r>
          </w:p>
        </w:tc>
      </w:tr>
      <w:tr w:rsidR="00BC46F9">
        <w:trPr>
          <w:jc w:val="center"/>
        </w:trPr>
        <w:tc>
          <w:tcPr>
            <w:tcW w:w="573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21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Зам. </w:t>
            </w:r>
            <w:r>
              <w:rPr>
                <w:rFonts w:ascii="Times New Roman CYR" w:hAnsi="Times New Roman CYR" w:cs="Times New Roman CYR"/>
                <w:sz w:val="20"/>
                <w:szCs w:val="20"/>
              </w:rPr>
              <w:lastRenderedPageBreak/>
              <w:t>Руководителя проекта</w:t>
            </w:r>
          </w:p>
        </w:tc>
        <w:tc>
          <w:tcPr>
            <w:tcW w:w="2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Катег</w:t>
            </w:r>
            <w:r>
              <w:rPr>
                <w:rFonts w:ascii="Times New Roman CYR" w:hAnsi="Times New Roman CYR" w:cs="Times New Roman CYR"/>
                <w:sz w:val="20"/>
                <w:szCs w:val="20"/>
              </w:rPr>
              <w:lastRenderedPageBreak/>
              <w:t>ория 1: главный пред.  Кат. 2 и 3: администратор пр</w:t>
            </w:r>
            <w:r>
              <w:rPr>
                <w:rFonts w:ascii="Times New Roman CYR" w:hAnsi="Times New Roman CYR" w:cs="Times New Roman CYR"/>
                <w:sz w:val="20"/>
                <w:szCs w:val="20"/>
              </w:rPr>
              <w:lastRenderedPageBreak/>
              <w:t>оекта</w:t>
            </w:r>
          </w:p>
        </w:tc>
        <w:tc>
          <w:tcPr>
            <w:tcW w:w="162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Генеральный директор</w:t>
            </w:r>
          </w:p>
        </w:tc>
        <w:tc>
          <w:tcPr>
            <w:tcW w:w="184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Куратор проекта, проекта</w:t>
            </w:r>
          </w:p>
        </w:tc>
        <w:tc>
          <w:tcPr>
            <w:tcW w:w="28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Приказ о запуске проекта</w:t>
            </w:r>
          </w:p>
        </w:tc>
        <w:tc>
          <w:tcPr>
            <w:tcW w:w="268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Фаза проекта «Концепция»</w:t>
            </w:r>
          </w:p>
        </w:tc>
      </w:tr>
      <w:tr w:rsidR="00BC46F9">
        <w:trPr>
          <w:jc w:val="center"/>
        </w:trPr>
        <w:tc>
          <w:tcPr>
            <w:tcW w:w="573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8</w:t>
            </w:r>
          </w:p>
        </w:tc>
        <w:tc>
          <w:tcPr>
            <w:tcW w:w="21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Главный предметный специалист</w:t>
            </w:r>
          </w:p>
        </w:tc>
        <w:tc>
          <w:tcPr>
            <w:tcW w:w="2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 1: специалист отдела подготовки про</w:t>
            </w:r>
            <w:r>
              <w:rPr>
                <w:rFonts w:ascii="Times New Roman CYR" w:hAnsi="Times New Roman CYR" w:cs="Times New Roman CYR"/>
                <w:sz w:val="20"/>
                <w:szCs w:val="20"/>
              </w:rPr>
              <w:lastRenderedPageBreak/>
              <w:t>изводства</w:t>
            </w:r>
          </w:p>
        </w:tc>
        <w:tc>
          <w:tcPr>
            <w:tcW w:w="162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Генеральный директор</w:t>
            </w:r>
          </w:p>
        </w:tc>
        <w:tc>
          <w:tcPr>
            <w:tcW w:w="184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Куратор проекта, Руководитель проекта</w:t>
            </w:r>
          </w:p>
        </w:tc>
        <w:tc>
          <w:tcPr>
            <w:tcW w:w="28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Устав проекта (орг.структура); Приказ об организации работ</w:t>
            </w:r>
          </w:p>
        </w:tc>
        <w:tc>
          <w:tcPr>
            <w:tcW w:w="268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Фаза проекта «Разработка» (не позднее 2 дней с </w:t>
            </w:r>
          </w:p>
        </w:tc>
      </w:tr>
      <w:tr w:rsidR="00BC46F9">
        <w:trPr>
          <w:jc w:val="center"/>
        </w:trPr>
        <w:tc>
          <w:tcPr>
            <w:tcW w:w="573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9</w:t>
            </w:r>
          </w:p>
        </w:tc>
        <w:tc>
          <w:tcPr>
            <w:tcW w:w="216"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функциональные исполнители</w:t>
            </w:r>
          </w:p>
        </w:tc>
        <w:tc>
          <w:tcPr>
            <w:tcW w:w="216"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Структурные подразделения</w:t>
            </w:r>
          </w:p>
        </w:tc>
        <w:tc>
          <w:tcPr>
            <w:tcW w:w="162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Генеральный директор</w:t>
            </w:r>
          </w:p>
        </w:tc>
        <w:tc>
          <w:tcPr>
            <w:tcW w:w="1843"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Куратор проекта, Руководитель проекта</w:t>
            </w:r>
          </w:p>
        </w:tc>
        <w:tc>
          <w:tcPr>
            <w:tcW w:w="2835"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Устав проекта (орг.структура); Приказ об организации работ</w:t>
            </w:r>
          </w:p>
        </w:tc>
        <w:tc>
          <w:tcPr>
            <w:tcW w:w="2682"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Фаза проекта «Разработка» (в соот. со сроками под.. матрицы ответственности)</w:t>
            </w:r>
          </w:p>
        </w:tc>
      </w:tr>
    </w:tbl>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Приложение 8</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Таблица. 21 Матрица ответственности за разработку, согласование и </w:t>
      </w:r>
      <w:r>
        <w:rPr>
          <w:rFonts w:ascii="Times New Roman CYR" w:hAnsi="Times New Roman CYR" w:cs="Times New Roman CYR"/>
          <w:color w:val="000000"/>
          <w:sz w:val="28"/>
          <w:szCs w:val="28"/>
        </w:rPr>
        <w:lastRenderedPageBreak/>
        <w:t>утверждение управленческих документов по проекту</w:t>
      </w:r>
    </w:p>
    <w:p w:rsidR="00BC46F9" w:rsidRDefault="00256C69">
      <w:pPr>
        <w:widowControl w:val="0"/>
        <w:autoSpaceDE w:val="0"/>
        <w:autoSpaceDN w:val="0"/>
        <w:adjustRightInd w:val="0"/>
        <w:spacing w:after="0" w:line="36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972050" cy="43910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4391025"/>
                    </a:xfrm>
                    <a:prstGeom prst="rect">
                      <a:avLst/>
                    </a:prstGeom>
                    <a:noFill/>
                    <a:ln>
                      <a:noFill/>
                    </a:ln>
                  </pic:spPr>
                </pic:pic>
              </a:graphicData>
            </a:graphic>
          </wp:inline>
        </w:drawing>
      </w:r>
    </w:p>
    <w:p w:rsidR="00BC46F9" w:rsidRDefault="00256C6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953000" cy="2933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0" cy="2933700"/>
                    </a:xfrm>
                    <a:prstGeom prst="rect">
                      <a:avLst/>
                    </a:prstGeom>
                    <a:noFill/>
                    <a:ln>
                      <a:noFill/>
                    </a:ln>
                  </pic:spPr>
                </pic:pic>
              </a:graphicData>
            </a:graphic>
          </wp:inline>
        </w:drawing>
      </w:r>
    </w:p>
    <w:p w:rsidR="00BC46F9" w:rsidRDefault="00256C6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5162550" cy="50958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2550" cy="5095875"/>
                    </a:xfrm>
                    <a:prstGeom prst="rect">
                      <a:avLst/>
                    </a:prstGeom>
                    <a:noFill/>
                    <a:ln>
                      <a:noFill/>
                    </a:ln>
                  </pic:spPr>
                </pic:pic>
              </a:graphicData>
            </a:graphic>
          </wp:inline>
        </w:drawing>
      </w:r>
    </w:p>
    <w:p w:rsidR="00BC46F9" w:rsidRDefault="00256C6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5124450" cy="36480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3648075"/>
                    </a:xfrm>
                    <a:prstGeom prst="rect">
                      <a:avLst/>
                    </a:prstGeom>
                    <a:noFill/>
                    <a:ln>
                      <a:noFill/>
                    </a:ln>
                  </pic:spPr>
                </pic:pic>
              </a:graphicData>
            </a:graphic>
          </wp:inline>
        </w:drawing>
      </w:r>
    </w:p>
    <w:p w:rsidR="00BC46F9" w:rsidRDefault="00256C69">
      <w:pPr>
        <w:keepNext/>
        <w:widowControl w:val="0"/>
        <w:autoSpaceDE w:val="0"/>
        <w:autoSpaceDN w:val="0"/>
        <w:adjustRightInd w:val="0"/>
        <w:spacing w:after="0" w:line="360" w:lineRule="auto"/>
        <w:ind w:firstLine="709"/>
        <w:jc w:val="both"/>
        <w:rPr>
          <w:rFonts w:ascii="Times New Roman CYR" w:hAnsi="Times New Roman CYR" w:cs="Times New Roman CYR"/>
          <w:b/>
          <w:bCs/>
          <w:kern w:val="32"/>
          <w:sz w:val="28"/>
          <w:szCs w:val="28"/>
        </w:rPr>
      </w:pPr>
      <w:r>
        <w:rPr>
          <w:rFonts w:ascii="Microsoft Sans Serif" w:hAnsi="Microsoft Sans Serif" w:cs="Microsoft Sans Serif"/>
          <w:noProof/>
          <w:sz w:val="17"/>
          <w:szCs w:val="17"/>
        </w:rPr>
        <w:lastRenderedPageBreak/>
        <w:drawing>
          <wp:inline distT="0" distB="0" distL="0" distR="0">
            <wp:extent cx="5305425" cy="48387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5425" cy="4838700"/>
                    </a:xfrm>
                    <a:prstGeom prst="rect">
                      <a:avLst/>
                    </a:prstGeom>
                    <a:noFill/>
                    <a:ln>
                      <a:noFill/>
                    </a:ln>
                  </pic:spPr>
                </pic:pic>
              </a:graphicData>
            </a:graphic>
          </wp:inline>
        </w:drawing>
      </w:r>
    </w:p>
    <w:p w:rsidR="00BC46F9" w:rsidRDefault="00256C69">
      <w:pPr>
        <w:keepNext/>
        <w:widowControl w:val="0"/>
        <w:autoSpaceDE w:val="0"/>
        <w:autoSpaceDN w:val="0"/>
        <w:adjustRightInd w:val="0"/>
        <w:spacing w:after="0" w:line="360" w:lineRule="auto"/>
        <w:ind w:firstLine="709"/>
        <w:jc w:val="both"/>
        <w:rPr>
          <w:rFonts w:ascii="Times New Roman CYR" w:hAnsi="Times New Roman CYR" w:cs="Times New Roman CYR"/>
          <w:b/>
          <w:bCs/>
          <w:kern w:val="32"/>
          <w:sz w:val="28"/>
          <w:szCs w:val="28"/>
        </w:rPr>
      </w:pPr>
      <w:r>
        <w:rPr>
          <w:rFonts w:ascii="Microsoft Sans Serif" w:hAnsi="Microsoft Sans Serif" w:cs="Microsoft Sans Serif"/>
          <w:noProof/>
          <w:sz w:val="17"/>
          <w:szCs w:val="17"/>
        </w:rPr>
        <w:lastRenderedPageBreak/>
        <w:drawing>
          <wp:inline distT="0" distB="0" distL="0" distR="0">
            <wp:extent cx="5191125" cy="37433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1125" cy="3743325"/>
                    </a:xfrm>
                    <a:prstGeom prst="rect">
                      <a:avLst/>
                    </a:prstGeom>
                    <a:noFill/>
                    <a:ln>
                      <a:noFill/>
                    </a:ln>
                  </pic:spPr>
                </pic:pic>
              </a:graphicData>
            </a:graphic>
          </wp:inline>
        </w:drawing>
      </w:r>
    </w:p>
    <w:p w:rsidR="00BC46F9" w:rsidRDefault="00256C69">
      <w:pPr>
        <w:keepNext/>
        <w:widowControl w:val="0"/>
        <w:autoSpaceDE w:val="0"/>
        <w:autoSpaceDN w:val="0"/>
        <w:adjustRightInd w:val="0"/>
        <w:spacing w:after="0" w:line="360" w:lineRule="auto"/>
        <w:ind w:firstLine="709"/>
        <w:jc w:val="both"/>
        <w:rPr>
          <w:rFonts w:ascii="Times New Roman CYR" w:hAnsi="Times New Roman CYR" w:cs="Times New Roman CYR"/>
          <w:b/>
          <w:bCs/>
          <w:kern w:val="32"/>
          <w:sz w:val="28"/>
          <w:szCs w:val="28"/>
        </w:rPr>
      </w:pPr>
      <w:r>
        <w:rPr>
          <w:rFonts w:ascii="Microsoft Sans Serif" w:hAnsi="Microsoft Sans Serif" w:cs="Microsoft Sans Serif"/>
          <w:noProof/>
          <w:sz w:val="17"/>
          <w:szCs w:val="17"/>
        </w:rPr>
        <w:lastRenderedPageBreak/>
        <w:drawing>
          <wp:inline distT="0" distB="0" distL="0" distR="0">
            <wp:extent cx="5210175" cy="46101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0175" cy="4610100"/>
                    </a:xfrm>
                    <a:prstGeom prst="rect">
                      <a:avLst/>
                    </a:prstGeom>
                    <a:noFill/>
                    <a:ln>
                      <a:noFill/>
                    </a:ln>
                  </pic:spPr>
                </pic:pic>
              </a:graphicData>
            </a:graphic>
          </wp:inline>
        </w:drawing>
      </w:r>
    </w:p>
    <w:p w:rsidR="00BC46F9" w:rsidRDefault="00BC46F9">
      <w:pPr>
        <w:widowControl w:val="0"/>
        <w:autoSpaceDE w:val="0"/>
        <w:autoSpaceDN w:val="0"/>
        <w:adjustRightInd w:val="0"/>
        <w:rPr>
          <w:rFonts w:ascii="Times New Roman CYR" w:hAnsi="Times New Roman CYR" w:cs="Times New Roman CYR"/>
          <w:b/>
          <w:bCs/>
          <w:kern w:val="32"/>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Приложение 9</w:t>
      </w: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BC46F9" w:rsidRDefault="00BC46F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22. Уровни принятия решений о внесении изменений (на фазе реализации проекта)</w:t>
      </w:r>
    </w:p>
    <w:tbl>
      <w:tblPr>
        <w:tblW w:w="1500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64"/>
        <w:gridCol w:w="2508"/>
        <w:gridCol w:w="2519"/>
        <w:gridCol w:w="3048"/>
        <w:gridCol w:w="2268"/>
      </w:tblGrid>
      <w:tr w:rsidR="00BC46F9" w:rsidTr="00E710DD">
        <w:trPr>
          <w:jc w:val="center"/>
        </w:trPr>
        <w:tc>
          <w:tcPr>
            <w:tcW w:w="4664"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 изменений</w:t>
            </w:r>
          </w:p>
        </w:tc>
        <w:tc>
          <w:tcPr>
            <w:tcW w:w="10343" w:type="dxa"/>
            <w:gridSpan w:val="4"/>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Ответственный за принятие решений об изменениях</w:t>
            </w:r>
          </w:p>
        </w:tc>
      </w:tr>
      <w:tr w:rsidR="00BC46F9" w:rsidTr="00E710DD">
        <w:trPr>
          <w:jc w:val="center"/>
        </w:trPr>
        <w:tc>
          <w:tcPr>
            <w:tcW w:w="4664"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p>
        </w:tc>
        <w:tc>
          <w:tcPr>
            <w:tcW w:w="250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Руководитель проекта</w:t>
            </w:r>
          </w:p>
        </w:tc>
        <w:tc>
          <w:tcPr>
            <w:tcW w:w="25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Куратор проекта</w:t>
            </w:r>
          </w:p>
        </w:tc>
        <w:tc>
          <w:tcPr>
            <w:tcW w:w="30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Проектный комитет, внутренний заказчик</w:t>
            </w:r>
          </w:p>
        </w:tc>
        <w:tc>
          <w:tcPr>
            <w:tcW w:w="226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Заместитель ГД по финансам</w:t>
            </w:r>
          </w:p>
        </w:tc>
      </w:tr>
      <w:tr w:rsidR="00BC46F9" w:rsidTr="00E710DD">
        <w:trPr>
          <w:jc w:val="center"/>
        </w:trPr>
        <w:tc>
          <w:tcPr>
            <w:tcW w:w="4664"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 объемов и состава работ</w:t>
            </w:r>
          </w:p>
        </w:tc>
        <w:tc>
          <w:tcPr>
            <w:tcW w:w="250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5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Проекты кат. 2 и 3</w:t>
            </w:r>
          </w:p>
        </w:tc>
        <w:tc>
          <w:tcPr>
            <w:tcW w:w="30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Проекты кат.1</w:t>
            </w:r>
          </w:p>
        </w:tc>
        <w:tc>
          <w:tcPr>
            <w:tcW w:w="226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BC46F9" w:rsidTr="00E710DD">
        <w:trPr>
          <w:jc w:val="center"/>
        </w:trPr>
        <w:tc>
          <w:tcPr>
            <w:tcW w:w="4664"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сроков выполнения работ</w:t>
            </w:r>
          </w:p>
        </w:tc>
        <w:tc>
          <w:tcPr>
            <w:tcW w:w="250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Работы с резервом (все категории проектов)</w:t>
            </w:r>
          </w:p>
        </w:tc>
        <w:tc>
          <w:tcPr>
            <w:tcW w:w="25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Работы критического пути: Кат.2 - отклонение до 5% Кат.3 - любые отклонения</w:t>
            </w:r>
          </w:p>
        </w:tc>
        <w:tc>
          <w:tcPr>
            <w:tcW w:w="30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Работы критического пути: Кат.1 - любые отклонения Кат.2 - отклонение свыше 5%</w:t>
            </w:r>
          </w:p>
        </w:tc>
        <w:tc>
          <w:tcPr>
            <w:tcW w:w="226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BC46F9" w:rsidTr="00E710DD">
        <w:trPr>
          <w:jc w:val="center"/>
        </w:trPr>
        <w:tc>
          <w:tcPr>
            <w:tcW w:w="4664"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бюджета расходов</w:t>
            </w:r>
          </w:p>
        </w:tc>
        <w:tc>
          <w:tcPr>
            <w:tcW w:w="250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Отклонения по отдельным статьям при условии экономии по другим статьям (в рамках </w:t>
            </w:r>
            <w:r>
              <w:rPr>
                <w:rFonts w:ascii="Times New Roman CYR" w:hAnsi="Times New Roman CYR" w:cs="Times New Roman CYR"/>
                <w:sz w:val="20"/>
                <w:szCs w:val="20"/>
              </w:rPr>
              <w:lastRenderedPageBreak/>
              <w:t>утвержденного бюджета)</w:t>
            </w:r>
          </w:p>
        </w:tc>
        <w:tc>
          <w:tcPr>
            <w:tcW w:w="25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По проекту в целом: Кат.1 и Кат.2 - отклонение до 5% Кат.3 - любые отклонения</w:t>
            </w:r>
          </w:p>
        </w:tc>
        <w:tc>
          <w:tcPr>
            <w:tcW w:w="30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проекту в целом: Кат.1 и Кат.2 - отклонение свыше 5%</w:t>
            </w:r>
          </w:p>
        </w:tc>
        <w:tc>
          <w:tcPr>
            <w:tcW w:w="226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BC46F9" w:rsidTr="00E710DD">
        <w:trPr>
          <w:jc w:val="center"/>
        </w:trPr>
        <w:tc>
          <w:tcPr>
            <w:tcW w:w="4664"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Изменение графика реализации</w:t>
            </w:r>
          </w:p>
        </w:tc>
        <w:tc>
          <w:tcPr>
            <w:tcW w:w="250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5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30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Любые отклонения (Внутренний Заказчик утверждает)</w:t>
            </w:r>
          </w:p>
        </w:tc>
        <w:tc>
          <w:tcPr>
            <w:tcW w:w="226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Любые отклонения (согласовывает)</w:t>
            </w:r>
          </w:p>
        </w:tc>
      </w:tr>
      <w:tr w:rsidR="00BC46F9" w:rsidTr="00E710DD">
        <w:trPr>
          <w:jc w:val="center"/>
        </w:trPr>
        <w:tc>
          <w:tcPr>
            <w:tcW w:w="4664" w:type="dxa"/>
            <w:tcBorders>
              <w:top w:val="nil"/>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графика платежей</w:t>
            </w:r>
          </w:p>
        </w:tc>
        <w:tc>
          <w:tcPr>
            <w:tcW w:w="250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519"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304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Любые отклонения (Внутренний Заказчик утверждает)</w:t>
            </w:r>
          </w:p>
        </w:tc>
        <w:tc>
          <w:tcPr>
            <w:tcW w:w="2268" w:type="dxa"/>
            <w:tcBorders>
              <w:top w:val="single" w:sz="6" w:space="0" w:color="auto"/>
              <w:left w:val="single" w:sz="6" w:space="0" w:color="auto"/>
              <w:bottom w:val="single" w:sz="6" w:space="0" w:color="auto"/>
              <w:right w:val="single" w:sz="6" w:space="0" w:color="auto"/>
            </w:tcBorders>
          </w:tcPr>
          <w:p w:rsidR="00BC46F9" w:rsidRDefault="00BC46F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Любые отклонения (согласовывает)</w:t>
            </w:r>
          </w:p>
        </w:tc>
      </w:tr>
    </w:tbl>
    <w:p w:rsidR="00BC46F9" w:rsidRDefault="00BC46F9"/>
    <w:p w:rsidR="00A2684E" w:rsidRPr="00A2684E" w:rsidRDefault="00344A0B" w:rsidP="00A2684E">
      <w:pPr>
        <w:rPr>
          <w:rFonts w:eastAsiaTheme="minorHAnsi" w:cstheme="minorBidi"/>
          <w:b/>
          <w:sz w:val="32"/>
          <w:szCs w:val="32"/>
          <w:lang w:eastAsia="en-US"/>
        </w:rPr>
      </w:pPr>
      <w:hyperlink r:id="rId37" w:history="1">
        <w:r w:rsidR="00A2684E" w:rsidRPr="00A2684E">
          <w:rPr>
            <w:rFonts w:ascii="Calibri" w:eastAsia="Calibri" w:hAnsi="Calibri"/>
            <w:b/>
            <w:color w:val="0563C1"/>
            <w:sz w:val="32"/>
            <w:szCs w:val="32"/>
            <w:u w:val="single"/>
            <w:lang w:eastAsia="en-US"/>
          </w:rPr>
          <w:t>Вернуться в каталог дипломов по менеджменту</w:t>
        </w:r>
      </w:hyperlink>
    </w:p>
    <w:p w:rsidR="0072663D" w:rsidRPr="0072663D" w:rsidRDefault="0072663D" w:rsidP="0072663D">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72663D" w:rsidRPr="0072663D" w:rsidTr="00BF6D22">
        <w:tc>
          <w:tcPr>
            <w:tcW w:w="3227" w:type="dxa"/>
            <w:tcBorders>
              <w:top w:val="single" w:sz="4" w:space="0" w:color="auto"/>
              <w:left w:val="single" w:sz="4" w:space="0" w:color="auto"/>
              <w:bottom w:val="single" w:sz="4" w:space="0" w:color="auto"/>
              <w:right w:val="single" w:sz="4" w:space="0" w:color="auto"/>
            </w:tcBorders>
          </w:tcPr>
          <w:p w:rsidR="0072663D" w:rsidRPr="0072663D" w:rsidRDefault="0072663D" w:rsidP="0072663D">
            <w:pPr>
              <w:spacing w:line="480" w:lineRule="auto"/>
              <w:jc w:val="center"/>
              <w:rPr>
                <w:rFonts w:ascii="Times New Roman CYR" w:eastAsia="Calibri" w:hAnsi="Times New Roman CYR" w:cs="Times New Roman CYR"/>
                <w:sz w:val="24"/>
                <w:szCs w:val="24"/>
              </w:rPr>
            </w:pPr>
          </w:p>
          <w:p w:rsidR="0072663D" w:rsidRPr="0072663D" w:rsidRDefault="0072663D" w:rsidP="0072663D">
            <w:pPr>
              <w:spacing w:line="480" w:lineRule="auto"/>
              <w:jc w:val="center"/>
              <w:rPr>
                <w:rFonts w:eastAsia="Calibri" w:cstheme="minorBidi"/>
                <w:lang w:val="en-US"/>
              </w:rPr>
            </w:pPr>
            <w:hyperlink r:id="rId38" w:history="1">
              <w:r w:rsidRPr="0072663D">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2663D" w:rsidRPr="0072663D" w:rsidRDefault="0072663D" w:rsidP="0072663D">
            <w:pPr>
              <w:spacing w:line="480" w:lineRule="auto"/>
              <w:jc w:val="center"/>
              <w:rPr>
                <w:rFonts w:eastAsia="Calibri" w:cstheme="minorBidi"/>
                <w:lang w:val="en-US"/>
              </w:rPr>
            </w:pPr>
            <w:r w:rsidRPr="0072663D">
              <w:rPr>
                <w:rFonts w:eastAsia="Calibri" w:cstheme="minorBidi"/>
                <w:noProof/>
              </w:rPr>
              <w:drawing>
                <wp:inline distT="0" distB="0" distL="0" distR="0" wp14:anchorId="19E93E9B" wp14:editId="24138B64">
                  <wp:extent cx="3784600" cy="1257300"/>
                  <wp:effectExtent l="0" t="0" r="635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2663D" w:rsidRPr="0072663D" w:rsidRDefault="0072663D" w:rsidP="0072663D">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72663D" w:rsidRPr="0072663D" w:rsidTr="00BF6D22">
        <w:tc>
          <w:tcPr>
            <w:tcW w:w="4952" w:type="dxa"/>
            <w:tcBorders>
              <w:top w:val="single" w:sz="4" w:space="0" w:color="auto"/>
              <w:left w:val="single" w:sz="4" w:space="0" w:color="auto"/>
              <w:bottom w:val="single" w:sz="4" w:space="0" w:color="auto"/>
              <w:right w:val="single" w:sz="4" w:space="0" w:color="auto"/>
            </w:tcBorders>
          </w:tcPr>
          <w:p w:rsidR="0072663D" w:rsidRPr="0072663D" w:rsidRDefault="0072663D" w:rsidP="0072663D">
            <w:pPr>
              <w:spacing w:line="480" w:lineRule="auto"/>
              <w:jc w:val="center"/>
              <w:rPr>
                <w:rFonts w:ascii="Times New Roman CYR" w:eastAsia="Calibri" w:hAnsi="Times New Roman CYR" w:cs="Times New Roman CYR"/>
                <w:sz w:val="24"/>
                <w:szCs w:val="24"/>
              </w:rPr>
            </w:pPr>
          </w:p>
          <w:p w:rsidR="0072663D" w:rsidRPr="0072663D" w:rsidRDefault="0072663D" w:rsidP="0072663D">
            <w:pPr>
              <w:spacing w:line="480" w:lineRule="auto"/>
              <w:jc w:val="center"/>
              <w:rPr>
                <w:rFonts w:eastAsia="Calibri" w:cstheme="minorBidi"/>
              </w:rPr>
            </w:pPr>
            <w:hyperlink r:id="rId40" w:history="1">
              <w:r w:rsidRPr="0072663D">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2663D" w:rsidRPr="0072663D" w:rsidRDefault="0072663D" w:rsidP="0072663D">
            <w:pPr>
              <w:spacing w:line="480" w:lineRule="auto"/>
              <w:jc w:val="center"/>
              <w:rPr>
                <w:rFonts w:eastAsia="Calibri" w:cstheme="minorBidi"/>
              </w:rPr>
            </w:pPr>
            <w:r w:rsidRPr="0072663D">
              <w:rPr>
                <w:rFonts w:eastAsia="Calibri" w:cstheme="minorBidi"/>
                <w:noProof/>
              </w:rPr>
              <w:drawing>
                <wp:inline distT="0" distB="0" distL="0" distR="0" wp14:anchorId="1CD72EF5" wp14:editId="06312641">
                  <wp:extent cx="2184400" cy="1962150"/>
                  <wp:effectExtent l="0" t="0" r="635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2663D" w:rsidRPr="0072663D" w:rsidRDefault="0072663D" w:rsidP="0072663D">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72663D" w:rsidRPr="0072663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72663D" w:rsidRPr="0072663D" w:rsidRDefault="0072663D" w:rsidP="0072663D">
            <w:pPr>
              <w:spacing w:line="480" w:lineRule="auto"/>
              <w:jc w:val="center"/>
              <w:rPr>
                <w:rFonts w:ascii="Times New Roman CYR" w:eastAsia="Calibri" w:hAnsi="Times New Roman CYR" w:cs="Times New Roman CYR"/>
                <w:sz w:val="24"/>
                <w:szCs w:val="24"/>
              </w:rPr>
            </w:pPr>
          </w:p>
          <w:p w:rsidR="0072663D" w:rsidRPr="0072663D" w:rsidRDefault="0072663D" w:rsidP="0072663D">
            <w:pPr>
              <w:spacing w:line="480" w:lineRule="auto"/>
              <w:jc w:val="center"/>
              <w:rPr>
                <w:rFonts w:ascii="Arial Black" w:eastAsia="Calibri" w:hAnsi="Arial Black" w:cs="Arial"/>
                <w:b/>
                <w:sz w:val="28"/>
                <w:szCs w:val="28"/>
              </w:rPr>
            </w:pPr>
            <w:hyperlink r:id="rId42" w:history="1">
              <w:r w:rsidRPr="0072663D">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72663D" w:rsidRPr="0072663D" w:rsidRDefault="0072663D" w:rsidP="0072663D">
            <w:pPr>
              <w:spacing w:line="480" w:lineRule="auto"/>
              <w:jc w:val="center"/>
              <w:rPr>
                <w:rFonts w:ascii="Arial Black" w:eastAsia="Calibri" w:hAnsi="Arial Black" w:cs="Arial"/>
                <w:b/>
                <w:sz w:val="28"/>
                <w:szCs w:val="28"/>
              </w:rPr>
            </w:pPr>
            <w:r w:rsidRPr="0072663D">
              <w:rPr>
                <w:rFonts w:eastAsia="Calibri" w:cstheme="minorBidi"/>
                <w:noProof/>
              </w:rPr>
              <w:drawing>
                <wp:inline distT="0" distB="0" distL="0" distR="0" wp14:anchorId="26953666" wp14:editId="4554B607">
                  <wp:extent cx="1600200" cy="1600200"/>
                  <wp:effectExtent l="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2663D" w:rsidRPr="0072663D" w:rsidRDefault="0072663D" w:rsidP="0072663D">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72663D" w:rsidRPr="0072663D" w:rsidTr="00BF6D22">
        <w:tc>
          <w:tcPr>
            <w:tcW w:w="3652" w:type="dxa"/>
            <w:tcBorders>
              <w:top w:val="single" w:sz="4" w:space="0" w:color="auto"/>
              <w:left w:val="single" w:sz="4" w:space="0" w:color="auto"/>
              <w:bottom w:val="single" w:sz="4" w:space="0" w:color="auto"/>
              <w:right w:val="single" w:sz="4" w:space="0" w:color="auto"/>
            </w:tcBorders>
          </w:tcPr>
          <w:p w:rsidR="0072663D" w:rsidRPr="0072663D" w:rsidRDefault="0072663D" w:rsidP="0072663D">
            <w:pPr>
              <w:spacing w:line="480" w:lineRule="auto"/>
              <w:jc w:val="center"/>
              <w:rPr>
                <w:rFonts w:ascii="Times New Roman CYR" w:eastAsia="Calibri" w:hAnsi="Times New Roman CYR" w:cs="Times New Roman CYR"/>
                <w:sz w:val="24"/>
                <w:szCs w:val="24"/>
              </w:rPr>
            </w:pPr>
          </w:p>
          <w:p w:rsidR="0072663D" w:rsidRPr="0072663D" w:rsidRDefault="0072663D" w:rsidP="0072663D">
            <w:pPr>
              <w:spacing w:line="480" w:lineRule="auto"/>
              <w:jc w:val="center"/>
              <w:rPr>
                <w:rFonts w:eastAsia="Calibri" w:cstheme="minorBidi"/>
                <w:lang w:val="en-US"/>
              </w:rPr>
            </w:pPr>
            <w:hyperlink r:id="rId44" w:history="1">
              <w:r w:rsidRPr="0072663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2663D" w:rsidRPr="0072663D" w:rsidRDefault="0072663D" w:rsidP="0072663D">
            <w:pPr>
              <w:spacing w:line="480" w:lineRule="auto"/>
              <w:jc w:val="center"/>
              <w:rPr>
                <w:rFonts w:eastAsia="Calibri" w:cstheme="minorBidi"/>
                <w:lang w:val="en-US"/>
              </w:rPr>
            </w:pPr>
            <w:r w:rsidRPr="0072663D">
              <w:rPr>
                <w:rFonts w:eastAsia="Calibri" w:cstheme="minorBidi"/>
                <w:noProof/>
              </w:rPr>
              <w:drawing>
                <wp:inline distT="0" distB="0" distL="0" distR="0" wp14:anchorId="5DD8159D" wp14:editId="45C21787">
                  <wp:extent cx="3752850" cy="1841500"/>
                  <wp:effectExtent l="0" t="0" r="0" b="635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2663D" w:rsidRPr="0072663D" w:rsidRDefault="0072663D" w:rsidP="0072663D">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72663D" w:rsidRPr="0072663D" w:rsidTr="00BF6D22">
        <w:tc>
          <w:tcPr>
            <w:tcW w:w="3936" w:type="dxa"/>
            <w:tcBorders>
              <w:top w:val="single" w:sz="4" w:space="0" w:color="auto"/>
              <w:left w:val="single" w:sz="4" w:space="0" w:color="auto"/>
              <w:bottom w:val="single" w:sz="4" w:space="0" w:color="auto"/>
              <w:right w:val="single" w:sz="4" w:space="0" w:color="auto"/>
            </w:tcBorders>
          </w:tcPr>
          <w:p w:rsidR="0072663D" w:rsidRPr="0072663D" w:rsidRDefault="0072663D" w:rsidP="0072663D">
            <w:pPr>
              <w:jc w:val="center"/>
              <w:rPr>
                <w:rFonts w:ascii="Times New Roman CYR" w:eastAsia="Calibri" w:hAnsi="Times New Roman CYR" w:cs="Times New Roman CYR"/>
                <w:sz w:val="24"/>
                <w:szCs w:val="24"/>
              </w:rPr>
            </w:pPr>
          </w:p>
          <w:p w:rsidR="0072663D" w:rsidRPr="0072663D" w:rsidRDefault="0072663D" w:rsidP="0072663D">
            <w:pPr>
              <w:jc w:val="center"/>
              <w:rPr>
                <w:rFonts w:eastAsia="Calibri" w:cstheme="minorBidi"/>
              </w:rPr>
            </w:pPr>
            <w:hyperlink r:id="rId46" w:history="1">
              <w:r w:rsidRPr="0072663D">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2663D" w:rsidRPr="0072663D" w:rsidRDefault="0072663D" w:rsidP="0072663D">
            <w:pPr>
              <w:jc w:val="center"/>
              <w:rPr>
                <w:rFonts w:eastAsia="Calibri" w:cstheme="minorBidi"/>
              </w:rPr>
            </w:pPr>
            <w:r w:rsidRPr="0072663D">
              <w:rPr>
                <w:rFonts w:eastAsia="Calibri" w:cstheme="minorBidi"/>
                <w:noProof/>
              </w:rPr>
              <w:drawing>
                <wp:inline distT="0" distB="0" distL="0" distR="0" wp14:anchorId="420D7AAC" wp14:editId="1A27F027">
                  <wp:extent cx="2806700" cy="1873250"/>
                  <wp:effectExtent l="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35A72" w:rsidRPr="00E710DD" w:rsidRDefault="00335A72">
      <w:bookmarkStart w:id="0" w:name="_GoBack"/>
      <w:bookmarkEnd w:id="0"/>
    </w:p>
    <w:sectPr w:rsidR="00335A72" w:rsidRPr="00E710DD">
      <w:headerReference w:type="default" r:id="rId48"/>
      <w:footerReference w:type="default" r:id="rId4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A0B" w:rsidRDefault="00344A0B" w:rsidP="0041113E">
      <w:pPr>
        <w:spacing w:after="0" w:line="240" w:lineRule="auto"/>
      </w:pPr>
      <w:r>
        <w:separator/>
      </w:r>
    </w:p>
  </w:endnote>
  <w:endnote w:type="continuationSeparator" w:id="0">
    <w:p w:rsidR="00344A0B" w:rsidRDefault="00344A0B" w:rsidP="00411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13E" w:rsidRDefault="0041113E" w:rsidP="0041113E">
    <w:pPr>
      <w:pStyle w:val="a7"/>
    </w:pPr>
    <w:r>
      <w:t xml:space="preserve">Вернуться в каталог готовых дипломов и магистерских диссертаций </w:t>
    </w:r>
  </w:p>
  <w:p w:rsidR="0041113E" w:rsidRDefault="0041113E" w:rsidP="0041113E">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A0B" w:rsidRDefault="00344A0B" w:rsidP="0041113E">
      <w:pPr>
        <w:spacing w:after="0" w:line="240" w:lineRule="auto"/>
      </w:pPr>
      <w:r>
        <w:separator/>
      </w:r>
    </w:p>
  </w:footnote>
  <w:footnote w:type="continuationSeparator" w:id="0">
    <w:p w:rsidR="00344A0B" w:rsidRDefault="00344A0B" w:rsidP="004111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665" w:rsidRDefault="00E76665" w:rsidP="00E76665">
    <w:pPr>
      <w:pStyle w:val="a5"/>
    </w:pPr>
    <w:r>
      <w:t>Узнайте стоимость написания на заказ студенческих и аспирантских работ</w:t>
    </w:r>
  </w:p>
  <w:p w:rsidR="0041113E" w:rsidRDefault="00E76665" w:rsidP="00E76665">
    <w:pPr>
      <w:pStyle w:val="a5"/>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DC1966"/>
    <w:lvl w:ilvl="0">
      <w:numFmt w:val="bullet"/>
      <w:lvlText w:val="*"/>
      <w:lvlJc w:val="left"/>
    </w:lvl>
  </w:abstractNum>
  <w:abstractNum w:abstractNumId="1">
    <w:nsid w:val="5A930B93"/>
    <w:multiLevelType w:val="singleLevel"/>
    <w:tmpl w:val="3DD44900"/>
    <w:lvl w:ilvl="0">
      <w:start w:val="1"/>
      <w:numFmt w:val="decimal"/>
      <w:lvlText w:val="%1."/>
      <w:legacy w:legacy="1" w:legacySpace="0" w:legacyIndent="336"/>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115"/>
        <w:lvlJc w:val="left"/>
        <w:rPr>
          <w:rFonts w:ascii="Symbol" w:hAnsi="Symbol" w:hint="default"/>
        </w:rPr>
      </w:lvl>
    </w:lvlOverride>
  </w:num>
  <w:num w:numId="2">
    <w:abstractNumId w:val="0"/>
    <w:lvlOverride w:ilvl="0">
      <w:lvl w:ilvl="0">
        <w:numFmt w:val="bullet"/>
        <w:lvlText w:val=""/>
        <w:legacy w:legacy="1" w:legacySpace="0" w:legacyIndent="177"/>
        <w:lvlJc w:val="left"/>
        <w:rPr>
          <w:rFonts w:ascii="Symbol" w:hAnsi="Symbol" w:hint="default"/>
        </w:rPr>
      </w:lvl>
    </w:lvlOverride>
  </w:num>
  <w:num w:numId="3">
    <w:abstractNumId w:val="1"/>
  </w:num>
  <w:num w:numId="4">
    <w:abstractNumId w:val="1"/>
    <w:lvlOverride w:ilvl="0">
      <w:lvl w:ilvl="0">
        <w:start w:val="3"/>
        <w:numFmt w:val="decimal"/>
        <w:lvlText w:val="%1."/>
        <w:legacy w:legacy="1" w:legacySpace="0" w:legacyIndent="336"/>
        <w:lvlJc w:val="left"/>
        <w:rPr>
          <w:rFonts w:ascii="Times New Roman CYR" w:hAnsi="Times New Roman CYR" w:cs="Times New Roman CYR" w:hint="default"/>
        </w:rPr>
      </w:lvl>
    </w:lvlOverride>
  </w:num>
  <w:num w:numId="5">
    <w:abstractNumId w:val="0"/>
    <w:lvlOverride w:ilvl="0">
      <w:lvl w:ilvl="0">
        <w:numFmt w:val="bullet"/>
        <w:lvlText w:val=""/>
        <w:legacy w:legacy="1" w:legacySpace="0" w:legacyIndent="249"/>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10E"/>
    <w:rsid w:val="00256C69"/>
    <w:rsid w:val="00335A72"/>
    <w:rsid w:val="00344A0B"/>
    <w:rsid w:val="0041113E"/>
    <w:rsid w:val="0072663D"/>
    <w:rsid w:val="007F7B0B"/>
    <w:rsid w:val="00A0196C"/>
    <w:rsid w:val="00A2684E"/>
    <w:rsid w:val="00BC46F9"/>
    <w:rsid w:val="00BE410E"/>
    <w:rsid w:val="00E710DD"/>
    <w:rsid w:val="00E76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E410E"/>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E410E"/>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335A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5A72"/>
    <w:rPr>
      <w:rFonts w:ascii="Tahoma" w:hAnsi="Tahoma" w:cs="Tahoma"/>
      <w:sz w:val="16"/>
      <w:szCs w:val="16"/>
    </w:rPr>
  </w:style>
  <w:style w:type="paragraph" w:styleId="a5">
    <w:name w:val="header"/>
    <w:basedOn w:val="a"/>
    <w:link w:val="a6"/>
    <w:uiPriority w:val="99"/>
    <w:unhideWhenUsed/>
    <w:rsid w:val="004111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113E"/>
  </w:style>
  <w:style w:type="paragraph" w:styleId="a7">
    <w:name w:val="footer"/>
    <w:basedOn w:val="a"/>
    <w:link w:val="a8"/>
    <w:uiPriority w:val="99"/>
    <w:unhideWhenUsed/>
    <w:rsid w:val="004111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113E"/>
  </w:style>
  <w:style w:type="table" w:customStyle="1" w:styleId="2">
    <w:name w:val="Сетка таблицы2"/>
    <w:basedOn w:val="a1"/>
    <w:uiPriority w:val="59"/>
    <w:rsid w:val="0072663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E410E"/>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E410E"/>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335A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5A72"/>
    <w:rPr>
      <w:rFonts w:ascii="Tahoma" w:hAnsi="Tahoma" w:cs="Tahoma"/>
      <w:sz w:val="16"/>
      <w:szCs w:val="16"/>
    </w:rPr>
  </w:style>
  <w:style w:type="paragraph" w:styleId="a5">
    <w:name w:val="header"/>
    <w:basedOn w:val="a"/>
    <w:link w:val="a6"/>
    <w:uiPriority w:val="99"/>
    <w:unhideWhenUsed/>
    <w:rsid w:val="004111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113E"/>
  </w:style>
  <w:style w:type="paragraph" w:styleId="a7">
    <w:name w:val="footer"/>
    <w:basedOn w:val="a"/>
    <w:link w:val="a8"/>
    <w:uiPriority w:val="99"/>
    <w:unhideWhenUsed/>
    <w:rsid w:val="004111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113E"/>
  </w:style>
  <w:style w:type="table" w:customStyle="1" w:styleId="2">
    <w:name w:val="Сетка таблицы2"/>
    <w:basedOn w:val="a1"/>
    <w:uiPriority w:val="59"/>
    <w:rsid w:val="0072663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940884">
      <w:bodyDiv w:val="1"/>
      <w:marLeft w:val="0"/>
      <w:marRight w:val="0"/>
      <w:marTop w:val="0"/>
      <w:marBottom w:val="0"/>
      <w:divBdr>
        <w:top w:val="none" w:sz="0" w:space="0" w:color="auto"/>
        <w:left w:val="none" w:sz="0" w:space="0" w:color="auto"/>
        <w:bottom w:val="none" w:sz="0" w:space="0" w:color="auto"/>
        <w:right w:val="none" w:sz="0" w:space="0" w:color="auto"/>
      </w:divBdr>
    </w:div>
    <w:div w:id="1007907139">
      <w:bodyDiv w:val="1"/>
      <w:marLeft w:val="0"/>
      <w:marRight w:val="0"/>
      <w:marTop w:val="0"/>
      <w:marBottom w:val="0"/>
      <w:divBdr>
        <w:top w:val="none" w:sz="0" w:space="0" w:color="auto"/>
        <w:left w:val="none" w:sz="0" w:space="0" w:color="auto"/>
        <w:bottom w:val="none" w:sz="0" w:space="0" w:color="auto"/>
        <w:right w:val="none" w:sz="0" w:space="0" w:color="auto"/>
      </w:divBdr>
    </w:div>
    <w:div w:id="1883134033">
      <w:bodyDiv w:val="1"/>
      <w:marLeft w:val="0"/>
      <w:marRight w:val="0"/>
      <w:marTop w:val="0"/>
      <w:marBottom w:val="0"/>
      <w:divBdr>
        <w:top w:val="none" w:sz="0" w:space="0" w:color="auto"/>
        <w:left w:val="none" w:sz="0" w:space="0" w:color="auto"/>
        <w:bottom w:val="none" w:sz="0" w:space="0" w:color="auto"/>
        <w:right w:val="none" w:sz="0" w:space="0" w:color="auto"/>
      </w:divBdr>
    </w:div>
    <w:div w:id="212179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hyperlink" Target="http://&#1091;&#1095;&#1077;&#1073;&#1085;&#1080;&#1082;&#1080;.&#1080;&#1085;&#1092;&#1086;&#1088;&#1084;2000.&#1088;&#1092;/lectr.shtml" TargetMode="External"/><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hyperlink" Target="http://&#1091;&#1095;&#1077;&#1073;&#1085;&#1080;&#1082;&#1080;.&#1080;&#1085;&#1092;&#1086;&#1088;&#1084;2000.&#1088;&#1092;/chitai.shtml" TargetMode="External"/><Relationship Id="rId46"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hyperlink" Target="http://&#1091;&#1095;&#1077;&#1073;&#1085;&#1080;&#1082;&#1080;.&#1080;&#1085;&#1092;&#1086;&#1088;&#1084;2000.&#1088;&#1092;/management3/management3.shtml" TargetMode="External"/><Relationship Id="rId40" Type="http://schemas.openxmlformats.org/officeDocument/2006/relationships/hyperlink" Target="http://&#1091;&#1095;&#1077;&#1073;&#1085;&#1080;&#1082;&#1080;.&#1080;&#1085;&#1092;&#1086;&#1088;&#1084;2000.&#1088;&#1092;/kar.shtml" TargetMode="External"/><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hyperlink" Target="http://&#1091;&#1095;&#1077;&#1073;&#1085;&#1080;&#1082;&#1080;.&#1080;&#1085;&#1092;&#1086;&#1088;&#1084;2000.&#1088;&#1092;/otu.shtml"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hyperlink" Target="http://&#1091;&#1095;&#1077;&#1073;&#1085;&#1080;&#1082;&#1080;.&#1080;&#1085;&#1092;&#1086;&#1088;&#1084;2000.&#1088;&#1092;/management3/management3.shtml"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118</Pages>
  <Words>21200</Words>
  <Characters>120842</Characters>
  <Application>Microsoft Office Word</Application>
  <DocSecurity>0</DocSecurity>
  <Lines>1007</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2018-06-22T06:04:00Z</dcterms:created>
  <dcterms:modified xsi:type="dcterms:W3CDTF">2023-05-12T04:41:00Z</dcterms:modified>
</cp:coreProperties>
</file>