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DA0" w:rsidRDefault="00993DA0">
      <w:pPr>
        <w:tabs>
          <w:tab w:val="right" w:leader="dot" w:pos="908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993DA0" w:rsidRPr="00993DA0" w:rsidRDefault="00993DA0" w:rsidP="00993DA0">
      <w:pPr>
        <w:tabs>
          <w:tab w:val="right" w:leader="dot" w:pos="9089"/>
        </w:tabs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 w:rsidRPr="00993DA0">
        <w:rPr>
          <w:b/>
          <w:sz w:val="28"/>
          <w:szCs w:val="28"/>
        </w:rPr>
        <w:t>Упрощенная система налогообложения</w:t>
      </w:r>
    </w:p>
    <w:p w:rsidR="00993DA0" w:rsidRDefault="00993DA0" w:rsidP="00993DA0">
      <w:pPr>
        <w:tabs>
          <w:tab w:val="right" w:leader="dot" w:pos="9089"/>
        </w:tabs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2011</w:t>
      </w:r>
    </w:p>
    <w:p w:rsidR="00993DA0" w:rsidRPr="00993DA0" w:rsidRDefault="00993DA0" w:rsidP="00993DA0">
      <w:pPr>
        <w:tabs>
          <w:tab w:val="right" w:leader="dot" w:pos="9089"/>
        </w:tabs>
        <w:suppressAutoHyphens/>
        <w:spacing w:line="360" w:lineRule="auto"/>
        <w:ind w:firstLine="709"/>
        <w:jc w:val="center"/>
        <w:rPr>
          <w:b/>
          <w:sz w:val="28"/>
          <w:szCs w:val="28"/>
        </w:rPr>
      </w:pPr>
    </w:p>
    <w:p w:rsidR="00FF088E" w:rsidRPr="00993DA0" w:rsidRDefault="00FF088E">
      <w:pPr>
        <w:tabs>
          <w:tab w:val="right" w:leader="dot" w:pos="9089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FF088E" w:rsidRPr="00993DA0" w:rsidRDefault="00FF088E">
      <w:pPr>
        <w:suppressAutoHyphens/>
        <w:spacing w:line="360" w:lineRule="auto"/>
        <w:rPr>
          <w:sz w:val="28"/>
          <w:szCs w:val="28"/>
        </w:rPr>
      </w:pPr>
    </w:p>
    <w:p w:rsidR="00FF088E" w:rsidRPr="00993DA0" w:rsidRDefault="00FF088E">
      <w:pPr>
        <w:tabs>
          <w:tab w:val="right" w:leader="dot" w:pos="9214"/>
        </w:tabs>
        <w:suppressAutoHyphens/>
        <w:spacing w:line="360" w:lineRule="auto"/>
        <w:rPr>
          <w:noProof/>
          <w:sz w:val="28"/>
          <w:szCs w:val="28"/>
        </w:rPr>
      </w:pPr>
      <w:r w:rsidRPr="00993DA0">
        <w:rPr>
          <w:noProof/>
          <w:sz w:val="28"/>
          <w:szCs w:val="28"/>
        </w:rPr>
        <w:t>Введение</w:t>
      </w:r>
    </w:p>
    <w:p w:rsidR="00FF088E" w:rsidRPr="00993DA0" w:rsidRDefault="00FF088E">
      <w:pPr>
        <w:tabs>
          <w:tab w:val="right" w:leader="dot" w:pos="9214"/>
        </w:tabs>
        <w:suppressAutoHyphens/>
        <w:spacing w:line="360" w:lineRule="auto"/>
        <w:rPr>
          <w:noProof/>
          <w:sz w:val="28"/>
          <w:szCs w:val="28"/>
        </w:rPr>
      </w:pPr>
      <w:r w:rsidRPr="00993DA0">
        <w:rPr>
          <w:noProof/>
          <w:sz w:val="28"/>
          <w:szCs w:val="28"/>
        </w:rPr>
        <w:t>Глава 1. Роль и значение упрощенной системы налообложения в бюджетной системе</w:t>
      </w:r>
    </w:p>
    <w:p w:rsidR="00FF088E" w:rsidRPr="00993DA0" w:rsidRDefault="00FF088E">
      <w:pPr>
        <w:tabs>
          <w:tab w:val="right" w:leader="dot" w:pos="9214"/>
        </w:tabs>
        <w:suppressAutoHyphens/>
        <w:spacing w:line="360" w:lineRule="auto"/>
        <w:rPr>
          <w:noProof/>
          <w:sz w:val="28"/>
          <w:szCs w:val="28"/>
        </w:rPr>
      </w:pPr>
      <w:r w:rsidRPr="00993DA0">
        <w:rPr>
          <w:noProof/>
          <w:sz w:val="28"/>
          <w:szCs w:val="28"/>
        </w:rPr>
        <w:t>Глава 2. Анализ применения упрощеннной системы налогообложения (на примере ИФНС №2 по ЦАО г. Омска)</w:t>
      </w:r>
    </w:p>
    <w:p w:rsidR="00FF088E" w:rsidRPr="00993DA0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rPr>
          <w:noProof/>
          <w:color w:val="FFFFFF"/>
          <w:sz w:val="28"/>
          <w:szCs w:val="28"/>
        </w:rPr>
      </w:pPr>
      <w:r w:rsidRPr="00993DA0">
        <w:rPr>
          <w:noProof/>
          <w:sz w:val="28"/>
          <w:szCs w:val="28"/>
        </w:rPr>
        <w:t>2.1 Характеристика ИФНС № 2 по ЦАО г. Омска</w:t>
      </w:r>
    </w:p>
    <w:p w:rsidR="00FF088E" w:rsidRPr="00993DA0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rPr>
          <w:noProof/>
          <w:color w:val="FFFFFF"/>
          <w:sz w:val="28"/>
          <w:szCs w:val="28"/>
        </w:rPr>
      </w:pPr>
      <w:r w:rsidRPr="00993DA0">
        <w:rPr>
          <w:noProof/>
          <w:sz w:val="28"/>
          <w:szCs w:val="28"/>
        </w:rPr>
        <w:t>2.2 Результаты постановки на учет налогоплательщиков, применяющих упрощенную систему налогообложения</w:t>
      </w:r>
    </w:p>
    <w:p w:rsidR="00FF088E" w:rsidRPr="00993DA0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rPr>
          <w:noProof/>
          <w:color w:val="FFFFFF"/>
          <w:sz w:val="28"/>
          <w:szCs w:val="28"/>
        </w:rPr>
      </w:pPr>
      <w:r w:rsidRPr="00993DA0">
        <w:rPr>
          <w:noProof/>
          <w:sz w:val="28"/>
          <w:szCs w:val="28"/>
        </w:rPr>
        <w:t>2.3 Анализ сумм начисленного и уплаченного единого налога, взимаемого при применении упрощенной системы налогообложения</w:t>
      </w:r>
    </w:p>
    <w:p w:rsidR="00FF088E" w:rsidRPr="00993DA0" w:rsidRDefault="00FF088E">
      <w:pPr>
        <w:tabs>
          <w:tab w:val="right" w:leader="dot" w:pos="9214"/>
        </w:tabs>
        <w:suppressAutoHyphens/>
        <w:spacing w:line="360" w:lineRule="auto"/>
        <w:rPr>
          <w:noProof/>
          <w:sz w:val="28"/>
          <w:szCs w:val="28"/>
        </w:rPr>
      </w:pPr>
      <w:r w:rsidRPr="00993DA0">
        <w:rPr>
          <w:noProof/>
          <w:sz w:val="28"/>
          <w:szCs w:val="28"/>
        </w:rPr>
        <w:t>Заключение</w:t>
      </w:r>
    </w:p>
    <w:p w:rsidR="00FF088E" w:rsidRPr="00993DA0" w:rsidRDefault="00FF088E">
      <w:pPr>
        <w:tabs>
          <w:tab w:val="right" w:leader="dot" w:pos="9214"/>
        </w:tabs>
        <w:suppressAutoHyphens/>
        <w:spacing w:line="360" w:lineRule="auto"/>
        <w:rPr>
          <w:noProof/>
          <w:sz w:val="28"/>
          <w:szCs w:val="28"/>
        </w:rPr>
      </w:pPr>
      <w:r w:rsidRPr="00993DA0">
        <w:rPr>
          <w:noProof/>
          <w:sz w:val="28"/>
          <w:szCs w:val="28"/>
        </w:rPr>
        <w:t>Список литературы</w:t>
      </w:r>
    </w:p>
    <w:p w:rsidR="00FF088E" w:rsidRPr="00993DA0" w:rsidRDefault="00FF088E">
      <w:pPr>
        <w:tabs>
          <w:tab w:val="right" w:leader="dot" w:pos="9214"/>
        </w:tabs>
        <w:suppressAutoHyphens/>
        <w:spacing w:line="360" w:lineRule="auto"/>
        <w:rPr>
          <w:noProof/>
          <w:sz w:val="28"/>
          <w:szCs w:val="28"/>
        </w:rPr>
      </w:pPr>
      <w:r w:rsidRPr="00993DA0">
        <w:rPr>
          <w:noProof/>
          <w:sz w:val="28"/>
          <w:szCs w:val="28"/>
        </w:rPr>
        <w:t>Приложения</w:t>
      </w:r>
    </w:p>
    <w:p w:rsidR="00FF088E" w:rsidRPr="00993DA0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rPr>
          <w:noProof/>
          <w:color w:val="FFFFFF"/>
          <w:sz w:val="28"/>
          <w:szCs w:val="28"/>
        </w:rPr>
      </w:pPr>
      <w:r w:rsidRPr="00993DA0">
        <w:rPr>
          <w:noProof/>
          <w:color w:val="FFFFFF"/>
          <w:sz w:val="28"/>
          <w:szCs w:val="28"/>
        </w:rPr>
        <w:t>упрощенный налогообложение бюджетный плательщик</w:t>
      </w:r>
    </w:p>
    <w:p w:rsidR="00FF088E" w:rsidRDefault="00FF088E">
      <w:pPr>
        <w:pStyle w:val="1"/>
        <w:suppressAutoHyphens/>
        <w:spacing w:line="360" w:lineRule="auto"/>
        <w:ind w:firstLine="709"/>
        <w:jc w:val="both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kern w:val="32"/>
          <w:sz w:val="28"/>
          <w:szCs w:val="28"/>
        </w:rPr>
        <w:lastRenderedPageBreak/>
        <w:t>Введение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Pr="00D0774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Впервые упрощенная система налогообложения была введена в России федеральным законом № 222-ФЗ от 29 декабря 1995 г, который утратил силу 1 января 2003 г. За время применения упрощенной системы налогообложения в нее вносились изменения и дополнения, и уточнялись некоторые положения. Результатом такой работы явилось введение в действие с 1 января 2003 г новой упрощенной системы налогообложения, которая сочетала некоторые элементы предыдущей версии упрощенной системы налогообложения и накопленный опыт за время ее применения. И с тех пор многие организации предпочли перейти на упрощенную систему налогообложения. Но некоторые фирмы до сих пор не приемлют эту налоговую систему, считая ее сложной в применении. Известно, что невысокие доходы многих малых предприятий с трудом позволяют честно платить все налоги, а упрощенная система налогообложения - это законный способ налоговой оптимизации, о котором знают далеко не все, к тому же для бухгалтера этот специальный режим означает сокращение трудоемкости бухгалтерского и налогового учета.</w:t>
      </w:r>
    </w:p>
    <w:p w:rsidR="00B945DB" w:rsidRPr="00B945DB" w:rsidRDefault="00B945DB" w:rsidP="00B945DB">
      <w:pPr>
        <w:jc w:val="center"/>
        <w:rPr>
          <w:b/>
          <w:color w:val="FF0000"/>
          <w:sz w:val="28"/>
          <w:szCs w:val="28"/>
        </w:rPr>
      </w:pPr>
      <w:r w:rsidRPr="00B945DB">
        <w:rPr>
          <w:b/>
          <w:color w:val="FF0000"/>
          <w:sz w:val="28"/>
          <w:szCs w:val="28"/>
        </w:rPr>
        <w:t>Вернуться в каталог готовых дипломов и магистерских диссертаций –</w:t>
      </w:r>
    </w:p>
    <w:p w:rsidR="00B945DB" w:rsidRPr="00B945DB" w:rsidRDefault="00EE52BD" w:rsidP="00B945DB">
      <w:pPr>
        <w:jc w:val="center"/>
        <w:rPr>
          <w:b/>
          <w:color w:val="FF0000"/>
          <w:sz w:val="28"/>
          <w:szCs w:val="28"/>
        </w:rPr>
      </w:pPr>
      <w:hyperlink r:id="rId7" w:history="1">
        <w:r w:rsidR="00B945DB" w:rsidRPr="00B945DB">
          <w:rPr>
            <w:b/>
            <w:color w:val="FF0000"/>
            <w:sz w:val="28"/>
            <w:szCs w:val="28"/>
            <w:u w:val="single"/>
            <w:lang w:val="en-US"/>
          </w:rPr>
          <w:t>http</w:t>
        </w:r>
        <w:r w:rsidR="00B945DB" w:rsidRPr="00B945DB">
          <w:rPr>
            <w:b/>
            <w:color w:val="FF0000"/>
            <w:sz w:val="28"/>
            <w:szCs w:val="28"/>
            <w:u w:val="single"/>
          </w:rPr>
          <w:t>://учебники.информ2000.рф/</w:t>
        </w:r>
        <w:proofErr w:type="spellStart"/>
        <w:r w:rsidR="00B945DB" w:rsidRPr="00B945DB">
          <w:rPr>
            <w:b/>
            <w:color w:val="FF0000"/>
            <w:sz w:val="28"/>
            <w:szCs w:val="28"/>
            <w:u w:val="single"/>
            <w:lang w:val="en-US"/>
          </w:rPr>
          <w:t>diplom</w:t>
        </w:r>
        <w:proofErr w:type="spellEnd"/>
        <w:r w:rsidR="00B945DB" w:rsidRPr="00B945DB">
          <w:rPr>
            <w:b/>
            <w:color w:val="FF0000"/>
            <w:sz w:val="28"/>
            <w:szCs w:val="28"/>
            <w:u w:val="single"/>
          </w:rPr>
          <w:t>.</w:t>
        </w:r>
        <w:proofErr w:type="spellStart"/>
        <w:r w:rsidR="00B945DB" w:rsidRPr="00B945DB">
          <w:rPr>
            <w:b/>
            <w:color w:val="FF0000"/>
            <w:sz w:val="28"/>
            <w:szCs w:val="28"/>
            <w:u w:val="single"/>
            <w:lang w:val="en-US"/>
          </w:rPr>
          <w:t>shtml</w:t>
        </w:r>
        <w:proofErr w:type="spellEnd"/>
      </w:hyperlink>
    </w:p>
    <w:p w:rsidR="00B945DB" w:rsidRPr="00B945DB" w:rsidRDefault="00B945DB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Сущность упрощенной системы как специального налогового режима и ее привлекательность для многих заключается в замене целого ряда налогов уплатой единого налога, исчисляемого по результатам хозяйственной деятельности налогоплательщика за налоговый период [6].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Упрощенная система может применяться хозяйствующими субъектами на территории РФ и не требует принятия какого-либо законодательного акта субъекта РФ.</w:t>
      </w:r>
    </w:p>
    <w:tbl>
      <w:tblPr>
        <w:tblStyle w:val="a4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993DA0" w:rsidTr="007A2867">
        <w:trPr>
          <w:jc w:val="center"/>
        </w:trPr>
        <w:tc>
          <w:tcPr>
            <w:tcW w:w="8472" w:type="dxa"/>
            <w:hideMark/>
          </w:tcPr>
          <w:p w:rsidR="00993DA0" w:rsidRDefault="00EE52BD" w:rsidP="007A2867">
            <w:pPr>
              <w:spacing w:line="360" w:lineRule="auto"/>
              <w:textAlignment w:val="baseline"/>
              <w:rPr>
                <w:rFonts w:ascii="Arial" w:hAnsi="Arial" w:cs="Times New Roman"/>
                <w:color w:val="444444"/>
                <w:sz w:val="21"/>
                <w:szCs w:val="21"/>
                <w:lang w:eastAsia="ru-RU"/>
              </w:rPr>
            </w:pPr>
            <w:hyperlink r:id="rId8" w:history="1"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993DA0" w:rsidRPr="00464E3E" w:rsidRDefault="00EE52BD" w:rsidP="007A2867">
            <w:pPr>
              <w:spacing w:line="360" w:lineRule="auto"/>
              <w:textAlignment w:val="baseline"/>
              <w:rPr>
                <w:rFonts w:ascii="Arial" w:hAnsi="Arial" w:cs="Times New Roman"/>
                <w:color w:val="444444"/>
                <w:sz w:val="21"/>
                <w:szCs w:val="21"/>
                <w:lang w:eastAsia="ru-RU"/>
              </w:rPr>
            </w:pPr>
            <w:hyperlink r:id="rId9" w:history="1">
              <w:proofErr w:type="spellStart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>Рерайт</w:t>
              </w:r>
              <w:proofErr w:type="spellEnd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 xml:space="preserve"> текстов и </w:t>
              </w:r>
              <w:proofErr w:type="spellStart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>уникализация</w:t>
              </w:r>
              <w:proofErr w:type="spellEnd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 xml:space="preserve"> 90 %</w:t>
              </w:r>
            </w:hyperlink>
          </w:p>
          <w:p w:rsidR="00993DA0" w:rsidRDefault="00EE52BD" w:rsidP="007A2867">
            <w:pPr>
              <w:spacing w:line="360" w:lineRule="auto"/>
              <w:textAlignment w:val="baseline"/>
              <w:rPr>
                <w:rFonts w:ascii="Arial" w:hAnsi="Arial" w:cs="Times New Roman"/>
                <w:color w:val="444444"/>
                <w:sz w:val="21"/>
                <w:szCs w:val="21"/>
                <w:lang w:eastAsia="ru-RU"/>
              </w:rPr>
            </w:pPr>
            <w:hyperlink r:id="rId10" w:history="1"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</w:t>
              </w:r>
              <w:proofErr w:type="gramStart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 xml:space="preserve"> .</w:t>
              </w:r>
              <w:proofErr w:type="gramEnd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 xml:space="preserve"> .</w:t>
              </w:r>
            </w:hyperlink>
          </w:p>
        </w:tc>
      </w:tr>
    </w:tbl>
    <w:p w:rsidR="00993DA0" w:rsidRDefault="00993DA0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введения УСНО является стимулирование развития предпринимательской деятельности в сфере малого бизнеса, уровень развития которого в значительной степени определяет уровень экономического развития страны в целом.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 упрощенной системы налогообложения заключается в уменьшении налогового бремени, упрощение налогового и бухгалтерского учета и отчетности для небольших предприятий и индивидуальных предпринимателей. Достижение указанных целей способствует развитию малого бизнеса в России и роста эффективности экономики страны в целом.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преддипломной практики является ознакомление с функциональными обязанностями должностных лиц по профилю специалиста финансов и кредита.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Задачей практики является сбор необходимых исходных данных к выполнению дипломного проекта, формирование способностей самостоятельного выполнения работ и обретение навыков исследований.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Объектом исследования в период прохождения практики является отдел камеральных налоговых проверок №2 ИФНС №2 по ЦАО г. Омска.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время прохождения практики была изучена законодательная, правовая и нормативная документация, были проанализированы приказы Правительства РФ и Правительства Омской области, первичные финансовые, налоговые документы, инструкции. По данной тематике изучены периодические и литературные источники.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pStyle w:val="1"/>
        <w:suppressAutoHyphens/>
        <w:spacing w:line="360" w:lineRule="auto"/>
        <w:ind w:firstLine="709"/>
        <w:jc w:val="both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kern w:val="32"/>
          <w:sz w:val="28"/>
          <w:szCs w:val="28"/>
        </w:rPr>
        <w:lastRenderedPageBreak/>
        <w:t xml:space="preserve">Глава 1. Роль и значение упрощенной системы </w:t>
      </w:r>
      <w:proofErr w:type="spellStart"/>
      <w:r>
        <w:rPr>
          <w:kern w:val="32"/>
          <w:sz w:val="28"/>
          <w:szCs w:val="28"/>
        </w:rPr>
        <w:t>налообложения</w:t>
      </w:r>
      <w:proofErr w:type="spellEnd"/>
      <w:r>
        <w:rPr>
          <w:kern w:val="32"/>
          <w:sz w:val="28"/>
          <w:szCs w:val="28"/>
        </w:rPr>
        <w:t xml:space="preserve"> в бюджетной системе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развитием рыночных отношений и приобретением ими цивилизованных форм все больший, интерес со стороны субъектов предпринимательства вызывают модели налогообложения малого и среднего бизнеса. Удовлетворяющими подобный интерес системами являются специальные налоговые режимы и прежде всего упрощенная система налогообложения. Эффективное использование специальных режимов в качестве источников доходов не менее важно и для бюджета. Не стоит забывать и о регулирующей функции указанных налогов, стимулирующей экономику в предпринимательской сфере [9].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связи с тем, что все поступления от применения УСН идут в региональные бюджеты, а российским законодательством субъектам федерации разрешено применять дифференцированную ставку по УСН от 6% до 15%, этот налоговый режим становится еще одним действенным инструментом в руках региональных властей для стимулирования предпринимательской среды (в том числе за счет роста числа предпринимателей) и пополнения доходной части региональных бюджетов [6</w:t>
      </w:r>
      <w:proofErr w:type="gramEnd"/>
      <w:r>
        <w:rPr>
          <w:sz w:val="28"/>
          <w:szCs w:val="28"/>
        </w:rPr>
        <w:t>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2009 году в консолидированные бюджеты субъектов РФ поступило налогов от предпринимателей, применяющих упрощенную систему налогообложения на сумму 92,1 млрд. рублей. Снижение к уровню 2008 года составило на 10,3 млрд. рублей или на 10,1%.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субъектов Российской Федерации все-таки смогли добиться увеличения поступлений по УСН. Наибольших темпов роста по данному </w:t>
      </w:r>
      <w:proofErr w:type="gramStart"/>
      <w:r>
        <w:rPr>
          <w:sz w:val="28"/>
          <w:szCs w:val="28"/>
        </w:rPr>
        <w:t>налогу достигли Дагестан</w:t>
      </w:r>
      <w:proofErr w:type="gramEnd"/>
      <w:r>
        <w:rPr>
          <w:sz w:val="28"/>
          <w:szCs w:val="28"/>
        </w:rPr>
        <w:t xml:space="preserve"> - 116,8%, Калмыкия - 114,0%, Чеченская Республика - 113,8%, Республика Ингушетия - 106,0%.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Наибольшие потери (свыше 20%) понесли 14 субъектов: </w:t>
      </w:r>
      <w:proofErr w:type="gramStart"/>
      <w:r>
        <w:rPr>
          <w:sz w:val="28"/>
          <w:szCs w:val="28"/>
        </w:rPr>
        <w:t>Новосибирская, Костромская, Свердловская, Псковская, Липецкая, Вологодская, Омская (22%), Орловская, Челябинская, Калининградская области, Забайкальский и Пермский край, Чувашская Республика, Еврейская автономная область [14].</w:t>
      </w:r>
      <w:proofErr w:type="gramEnd"/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в единственном регионе - Ненецком автономном округе, с 2008 года поступления в консолидированный бюджет субъекта по налогу от </w:t>
      </w:r>
      <w:proofErr w:type="gramStart"/>
      <w:r>
        <w:rPr>
          <w:sz w:val="28"/>
          <w:szCs w:val="28"/>
        </w:rPr>
        <w:t>предпринимателей, применяющих упрощенную систему налогообложения отсутствуют</w:t>
      </w:r>
      <w:proofErr w:type="gramEnd"/>
      <w:r>
        <w:rPr>
          <w:sz w:val="28"/>
          <w:szCs w:val="28"/>
        </w:rPr>
        <w:t>. В 2007 году поступление данного вида налога по указанному региону составило 56,4 млн. рублей.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 данным на 1 ноября 2010 года в консолидированные бюджеты субъектов РФ поступило налогов от предпринимателей, применяющих упрощенную систему налогообложения на сумму 105,2 млрд. рублей, что выше аналогичного периода прошлого года на 22%. По всем субъектам, за исключением Чеченской Республики, где снижение составило 6%, темпы роста данного налога выше соответствующего периода прошлого года.</w:t>
      </w:r>
      <w:proofErr w:type="gramEnd"/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показывает государственная статистика в 2008 году количество малых предприятий в г. Москве увеличилось лишь на 3100, а в г. Санкт-Петербург их количество осталось на прежнем уровне. Сокращение малых предприятий зафиксировано также в 10 регионах. Наибольшие потери понесли Воронежская область (сокращение на 2600 предприятий) и Хабаровский край (сокращение на 1900 предприятий). Вместе с тем, следует отметить Чеченскую Республику, количество малых предприятий на территории которой в 2008 голу увеличилось в 10 раз (с 0,4 до 4,3 тыс. предприятий). Это увеличение дало хороший результат в 2009 году в увеличении поступлений по УСН на 13,8%, но уже на 01.01.2011 г. указанное снижение составило на 6%.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Лидирующее место в рейтинге субъектов РФ по среднему поступлению налогов на малый и средний бизнес на 1 малое предприятие в течение 2007-2008 </w:t>
      </w:r>
      <w:r>
        <w:rPr>
          <w:sz w:val="28"/>
          <w:szCs w:val="28"/>
        </w:rPr>
        <w:lastRenderedPageBreak/>
        <w:t>гг. занимает Ямало-Ненецкий автономный округ. Среднее поступление налогов на малый бизнес на 1 малое предприятие за 2007 год в Ямало-Ненецком автономном округе составило 499,8 тыс. рублей. В 2008 году - 462,5 тыс. рублей (с падением к 2008 году на 7,5%). В тройку лидеров входят также: Чукотский автономный округ, в котором среднее поступление налогов от малого бизнеса на 1 малое предприятие в 2008 году составило 458,3 тыс. рублей (с ростом к уровню 2007 года на 66,3%), Сахалинская область - 364,0 тыс. рублей (с ростом к уровню 2007 года на 59,2%). Всего 65 субъектов РФ, у которых среднее поступление налогов на малый и средний бизнес на 1 малое предприятие составило свыше 100 тыс. рублей [10].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структуре доходов консолидированного бюджета Омской области доля доходов от </w:t>
      </w:r>
      <w:proofErr w:type="gramStart"/>
      <w:r>
        <w:rPr>
          <w:sz w:val="28"/>
          <w:szCs w:val="28"/>
        </w:rPr>
        <w:t>единого налога, взимаемого с применением упрощенной системы налогообложения занимает</w:t>
      </w:r>
      <w:proofErr w:type="gramEnd"/>
      <w:r>
        <w:rPr>
          <w:sz w:val="28"/>
          <w:szCs w:val="28"/>
        </w:rPr>
        <w:t xml:space="preserve"> не значительную часть. В 2008 году доля доходов от единого налога, взимаемого с применением упрощенной системы налогообложения составила 0,04% или 1382,2 </w:t>
      </w:r>
      <w:proofErr w:type="spellStart"/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 В 2009 году доля данного вида дохода в общей структуре доходов Омской области сократилась и составила 0,03% или 1077,3 </w:t>
      </w:r>
      <w:proofErr w:type="spellStart"/>
      <w:r>
        <w:rPr>
          <w:sz w:val="28"/>
          <w:szCs w:val="28"/>
        </w:rPr>
        <w:t>млн.руб</w:t>
      </w:r>
      <w:proofErr w:type="spellEnd"/>
      <w:r>
        <w:rPr>
          <w:sz w:val="28"/>
          <w:szCs w:val="28"/>
        </w:rPr>
        <w:t xml:space="preserve">.( на 22,06%). В 2010 году доля дохода составила также 0,03% в общем объеме поступлений, но в абсолютном значении произошло увеличение до 1255,7 </w:t>
      </w:r>
      <w:proofErr w:type="spellStart"/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 (на 16,5%) . По данным 2011г. доход от единого налога, взимаемого с применением упрощенной системы налогообложения в структуре бюджета Омской области составил 44 215 </w:t>
      </w:r>
      <w:proofErr w:type="spellStart"/>
      <w:r>
        <w:rPr>
          <w:sz w:val="28"/>
          <w:szCs w:val="28"/>
        </w:rPr>
        <w:t>млн.руб</w:t>
      </w:r>
      <w:proofErr w:type="spellEnd"/>
      <w:r>
        <w:rPr>
          <w:sz w:val="28"/>
          <w:szCs w:val="28"/>
        </w:rPr>
        <w:t xml:space="preserve">. (0,4%), что на 952 </w:t>
      </w:r>
      <w:proofErr w:type="spellStart"/>
      <w:r>
        <w:rPr>
          <w:sz w:val="28"/>
          <w:szCs w:val="28"/>
        </w:rPr>
        <w:t>млн.руб</w:t>
      </w:r>
      <w:proofErr w:type="spellEnd"/>
      <w:r>
        <w:rPr>
          <w:sz w:val="28"/>
          <w:szCs w:val="28"/>
        </w:rPr>
        <w:t>. больше чем в 2010 год (Табл.1)[</w:t>
      </w:r>
      <w:proofErr w:type="gramStart"/>
      <w:r>
        <w:rPr>
          <w:sz w:val="28"/>
          <w:szCs w:val="28"/>
        </w:rPr>
        <w:t>16].</w:t>
      </w:r>
      <w:proofErr w:type="gramEnd"/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Таблица 1</w:t>
      </w:r>
      <w:r w:rsidRPr="00993DA0">
        <w:rPr>
          <w:sz w:val="28"/>
          <w:szCs w:val="28"/>
        </w:rPr>
        <w:t xml:space="preserve"> </w:t>
      </w:r>
      <w:r>
        <w:rPr>
          <w:sz w:val="28"/>
          <w:szCs w:val="28"/>
        </w:rPr>
        <w:t>Доходы бюджета Омской области 2008-2011 гг.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6"/>
        <w:gridCol w:w="1066"/>
        <w:gridCol w:w="831"/>
        <w:gridCol w:w="1153"/>
        <w:gridCol w:w="831"/>
        <w:gridCol w:w="1050"/>
        <w:gridCol w:w="831"/>
        <w:gridCol w:w="1067"/>
        <w:gridCol w:w="708"/>
      </w:tblGrid>
      <w:tr w:rsidR="00FF088E">
        <w:trPr>
          <w:jc w:val="center"/>
        </w:trPr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2008г.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2009г. </w:t>
            </w:r>
          </w:p>
        </w:tc>
        <w:tc>
          <w:tcPr>
            <w:tcW w:w="18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2010г.</w:t>
            </w:r>
          </w:p>
        </w:tc>
        <w:tc>
          <w:tcPr>
            <w:tcW w:w="17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г.</w:t>
            </w:r>
          </w:p>
        </w:tc>
      </w:tr>
      <w:tr w:rsidR="00FF088E">
        <w:trPr>
          <w:jc w:val="center"/>
        </w:trPr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(</w:t>
            </w:r>
            <w:proofErr w:type="spellStart"/>
            <w:r>
              <w:rPr>
                <w:sz w:val="20"/>
                <w:szCs w:val="20"/>
              </w:rPr>
              <w:t>млн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</w:t>
            </w:r>
            <w:proofErr w:type="gramStart"/>
            <w:r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(</w:t>
            </w:r>
            <w:proofErr w:type="spellStart"/>
            <w:r>
              <w:rPr>
                <w:sz w:val="20"/>
                <w:szCs w:val="20"/>
              </w:rPr>
              <w:t>млн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</w:t>
            </w:r>
            <w:proofErr w:type="gramStart"/>
            <w:r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(</w:t>
            </w:r>
            <w:proofErr w:type="spellStart"/>
            <w:r>
              <w:rPr>
                <w:sz w:val="20"/>
                <w:szCs w:val="20"/>
              </w:rPr>
              <w:t>млн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</w:t>
            </w:r>
            <w:proofErr w:type="gramStart"/>
            <w:r>
              <w:rPr>
                <w:sz w:val="20"/>
                <w:szCs w:val="20"/>
              </w:rPr>
              <w:t xml:space="preserve"> (%)</w:t>
            </w:r>
            <w:proofErr w:type="gramEnd"/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Сумма (</w:t>
            </w:r>
            <w:proofErr w:type="spellStart"/>
            <w:r>
              <w:rPr>
                <w:sz w:val="20"/>
                <w:szCs w:val="20"/>
              </w:rPr>
              <w:t>млн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уб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</w:t>
            </w:r>
            <w:proofErr w:type="gramStart"/>
            <w:r>
              <w:rPr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FF088E">
        <w:trPr>
          <w:jc w:val="center"/>
        </w:trPr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поступило доходов в консолидированный бюджет Омской области, из них: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33 015,00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33 444,5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42167,3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44 215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FF088E">
        <w:trPr>
          <w:jc w:val="center"/>
        </w:trPr>
        <w:tc>
          <w:tcPr>
            <w:tcW w:w="1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Единый налог, взимаемый с применением упрощенной системы налогообложения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1 382,20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11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1 077,30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1 255,70</w:t>
            </w:r>
          </w:p>
        </w:tc>
        <w:tc>
          <w:tcPr>
            <w:tcW w:w="8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0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</w:t>
            </w:r>
          </w:p>
        </w:tc>
      </w:tr>
    </w:tbl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анализе налоговой базы и структуры начислений по налогу, уплачиваемому в связи с применением упрощенной системы налогообложения Омской области за 2008-2010 гг. можно сделать следующие выводы (Приложения 2,3).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2008 году налоговая база составила 27130825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 ,в том числе по объекту - доход 24 511 555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 ,по объекту - доходы, уменьшенные на величину расходов на 2 619 270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., что составляет 90% и 10% соответственно от общей налоговой базы.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2009 году налоговая база составила 24069760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., то есть наблюдается ее сокращение на 89,71 % по сравнению с 2008 годом.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г. наблюдается рост налоговой базы на 17,85% по отношению к 2009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.и</w:t>
      </w:r>
      <w:proofErr w:type="spellEnd"/>
      <w:proofErr w:type="gramEnd"/>
      <w:r>
        <w:rPr>
          <w:sz w:val="28"/>
          <w:szCs w:val="28"/>
        </w:rPr>
        <w:t xml:space="preserve"> составила 1 947 953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 w:rsidRPr="00993DA0">
        <w:rPr>
          <w:sz w:val="28"/>
          <w:szCs w:val="28"/>
        </w:rPr>
        <w:br w:type="page"/>
      </w:r>
      <w:r w:rsidR="006C6237"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4559300" cy="173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 Структура налоговой базы в зависимости от объекта налогообложения 2008-2010 года (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.)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налога исчисленного за налоговый период в 2008 году составила 1 863 592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 на организации приходится 1 176 239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., на ИП-687 353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 В общей сумме исчисленного налога налог с дохода составляет 78,91%, налог с дохода, уменьшенного на величину расходов 21,09%.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2009 году произошло сокращение суммы исчисленного налога за налоговый период по сравнению 2008 годом на 11,31% ( на 210735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.) в частности налог с дохода сократился на 11,52%, налога с доходов, уменьшенных на величину расходов-10,51%.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6C6237">
      <w:pPr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432300" cy="20066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2 Сумма исчисленного за налоговый период налога за 2008-2010 (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.)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93DA0">
        <w:rPr>
          <w:sz w:val="28"/>
          <w:szCs w:val="28"/>
        </w:rPr>
        <w:lastRenderedPageBreak/>
        <w:br w:type="page"/>
      </w:r>
      <w:r>
        <w:rPr>
          <w:sz w:val="28"/>
          <w:szCs w:val="28"/>
        </w:rPr>
        <w:lastRenderedPageBreak/>
        <w:t xml:space="preserve">В 2010 году сумма уплаченного налога увеличилась на 15,09% или 244275 тыс. руб., в большей мере за счет исчисленного налога с доходов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16,95%).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6C623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3949700" cy="1949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3 Сумма налога, подлежащая уплате 2008-2010 гг</w:t>
      </w:r>
      <w:proofErr w:type="gramStart"/>
      <w:r>
        <w:rPr>
          <w:sz w:val="28"/>
          <w:szCs w:val="28"/>
        </w:rPr>
        <w:t>.(</w:t>
      </w:r>
      <w:proofErr w:type="spellStart"/>
      <w:proofErr w:type="gramEnd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.)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минимального налога, подлежащая уплате в 2008 году составила 96 587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., наибольшая доля по уплате минимального налога принадлежит организациям 79,10%. В 2009 году произошло не значительное снижение суммы минимального налога на 1% и составила 95640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6C623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4914900" cy="20891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4 Сумма минимального налога, подлежащая уплате 2008-2010 гг. (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.)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2010 г. сумма минимального налога увеличилась на 20,06% и </w:t>
      </w:r>
      <w:r>
        <w:rPr>
          <w:sz w:val="28"/>
          <w:szCs w:val="28"/>
        </w:rPr>
        <w:lastRenderedPageBreak/>
        <w:t xml:space="preserve">составила114824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., что на 19188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 больше чем в 2009 г.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Количество налогоплательщиков, представивших налоговые декларации по налогу, уплачиваемому в связи с применением упрощенной системы налогообложении в Омской области в 2008 году составило 35954 ед. из них организаций 12498 ед. и ИП 23456 ед. При этом наибольшее количество налогоплательщиков выбрало в качестве объекта налогообложения доходы 2619 ед., из них наибольшая доля приходится на ИП-75,27%.</w:t>
      </w:r>
      <w:proofErr w:type="gramEnd"/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2009 году наблюдается сокращение числа налогоплательщиков на 6% (на 2162 ед.). В 2010 г. число налогоплательщиков увеличилось на 238 ед. и составило 34 030 ед. [</w:t>
      </w:r>
      <w:r w:rsidRPr="00993DA0">
        <w:rPr>
          <w:sz w:val="28"/>
          <w:szCs w:val="28"/>
        </w:rPr>
        <w:t>16].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индивидуальных предпринимателей, получивших патенты на право применения упрощенной системы налогообложения на основе патента в Омской области не зарегистрировано</w:t>
      </w:r>
      <w:proofErr w:type="gramEnd"/>
      <w:r>
        <w:rPr>
          <w:sz w:val="28"/>
          <w:szCs w:val="28"/>
        </w:rPr>
        <w:t>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Упрощенная система налогообложения, учета и отчетности для субъектов малого предпринимательства была введена с 1 января 1996 г., то есть применяется уже более 17 лет, и первоначально этот льготный налоговый режим применялся наряду с налоговыми льготами для малых предприятий по налогу на прибыль, налогу на добавленную стоимость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1 января 2003 г. часть вторая НК РФ была дополнена гл. 26.2 "Упрощенная система налогообложения", которая заменила действовавший до этого аналогичный специальный налоговый режим, который в значительной степени был усовершенствован. Последующие поправки в эту главу НК РФ сделали этот специальный налоговый режим еще более льготным и привлекательным для малого бизнеса [10].</w:t>
      </w:r>
    </w:p>
    <w:p w:rsidR="00FF088E" w:rsidRDefault="00FF088E">
      <w:pPr>
        <w:pStyle w:val="2"/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pStyle w:val="1"/>
        <w:suppressAutoHyphens/>
        <w:spacing w:line="360" w:lineRule="auto"/>
        <w:ind w:firstLine="709"/>
        <w:jc w:val="both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kern w:val="32"/>
          <w:sz w:val="28"/>
          <w:szCs w:val="28"/>
        </w:rPr>
        <w:lastRenderedPageBreak/>
        <w:t xml:space="preserve">Глава 2. Анализ применения </w:t>
      </w:r>
      <w:proofErr w:type="spellStart"/>
      <w:r>
        <w:rPr>
          <w:kern w:val="32"/>
          <w:sz w:val="28"/>
          <w:szCs w:val="28"/>
        </w:rPr>
        <w:t>упроженнной</w:t>
      </w:r>
      <w:proofErr w:type="spellEnd"/>
      <w:r>
        <w:rPr>
          <w:kern w:val="32"/>
          <w:sz w:val="28"/>
          <w:szCs w:val="28"/>
        </w:rPr>
        <w:t xml:space="preserve"> системы налогообложения (на примере ИФНС №2 по ЦАО г. Омска)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pStyle w:val="2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 Характеристика ИФНС № 2 по ЦАО г. Омска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02.07.1990 г. создана Государственная налоговая инспекция по Куйбышевскому району города Омска. Приказом Государственной налоговой инспекции по Омской области № 20 от 28.03.1997 г. Государственная налоговая инспекция по Куйбышевскому району города Омска преобразована в Государственную налоговую инспекцию №2 по Центральному административному округу города Омска.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 15.07.1999 г. инспекция преобразована приказом Управления МНС России по Омской области № 76 от 02.07.1999 г. в Инспекцию Министерства РФ по налогам и сборам №2 по Центральному административному округу города Омска.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Сегодняшнее название Инспекции Федеральной налоговой службы № 2 по Центральному административному округу города Омск присвоено 24.11.2004 г. в результате реорганизации по приказу Управления Федеральной налоговой службы по Омской области № 330 от 24.11.2004 г.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Отдел камеральных проверок № 2 является структурным подразделением Инспекции Федеральной налоговой службы № 2 по Центральному административному округу города Омск.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proofErr w:type="gramStart"/>
      <w:r>
        <w:rPr>
          <w:noProof/>
          <w:sz w:val="28"/>
          <w:szCs w:val="28"/>
        </w:rPr>
        <w:t xml:space="preserve">Структурное подразделение в своей деятельности руководствуется Конституцией Российской Федерации, федеральными конституционными законами, Налоговым кодексом Российской Федерации, другими федеральными законами, международными договорами Российской Федерации, актами Президента Российской Федерации и Правительства Российской Федерации, </w:t>
      </w:r>
      <w:r>
        <w:rPr>
          <w:noProof/>
          <w:sz w:val="28"/>
          <w:szCs w:val="28"/>
        </w:rPr>
        <w:lastRenderedPageBreak/>
        <w:t>нормативными правовыми актами Министерства финансов Российской Федерации, Положением о Федеральной налоговой службе, положением об инспекции Федеральной налоговой службы № 2 по Центральному административному округу г. Омска, нормативными и иными правовыми</w:t>
      </w:r>
      <w:proofErr w:type="gramEnd"/>
      <w:r>
        <w:rPr>
          <w:noProof/>
          <w:sz w:val="28"/>
          <w:szCs w:val="28"/>
        </w:rPr>
        <w:t xml:space="preserve"> актами ФНС России, правовыми актами Управления Федеральной налоговой службы по Омской области.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Руководство и контроль деятельности структурного подразделения осуществляет заместитель начальника Инспекции Федеральной налоговой службы №2 по Центральному административному округу г. Омска, осуществляющий координацию и контроль деятельности структурного подразделения.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Структурное подразделение возглавляет начальник структурного подразделения, который подчиняется непосредственно заместителю начальника Инспекции, осуществляющему координацию и контроль деятельности структурного подразделения.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Основными задачами структурного подразделения являются: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контроль за соблюдением налогоплательщиками, плательщиками сборов и налоговыми агентами, состоящими на учете в Инспекции, законодательства о налогах и сборах и принятых в соответствии с ним нормативных правовых актов, правильностью исчисления, полнотой и своевременностью внесения в соответствующие бюджеты и государственные внебюджетные фонды налогов, сборов и иных обязательных платежей;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проведение камеральных налоговых проверок налоговых деклараций (расчетов) налогоплательщиков юридических лиц;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осуществление взаимодействия с правоохранительными и иными контролирующими органами по предмету деятельности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отбор налогоплательщиков юридических лиц для включения в план выездных налоговых проверок.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Структурное подразделение осуществляет следующие функции: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проведение камеральных налоговых проверок налоговых деклараций и иных документов (кроме НДС), служащих основанием для исчисления и уплаты налогов и сборов налогоплательщиков юридических лиц;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организация работы по получению информации о деятельности налогоплательщиков из внешних источников ( в том числе косвенной информации от органов энергосбыта о физических объемах потребленных энергетических (электро- и теплоэнергии) ресурсов, от предприятий Водоканала о потреблении водных ресурсов, от других организаций о потреблении иных материальных ресурсов; информации от правоохранительных органов и других контролирующих органов, организаций МПС России, Минтранса России, ГИБДД МВД России о перевозимых крупных партиях товаров, информации о пользователях природными ресурсами, других данных). Мониторинг и анализ указанной информации в целях качественного и результативного проведения контрольных мероприятий;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осуществление отбора налогоплательщиков для включения в план выездных налоговых проверок и анализ эффективности данного отбора по результатам проведенных выездных налоговых проверок указанных налогоплательщиков юридических лиц;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проведение предпроверочного анализа деятельности налогоплательщика юридического лица, находящегося в процессе ликвидации;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анализ схем уклонения от налогообложения налогоплательщиков юридических лиц, выработка предложений по их предотвращению;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проведение камерального анализа, налоговых деклараций и иных документов, служащих основанием для исчисления и уплаты налогов и сборов;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proofErr w:type="gramStart"/>
      <w:r>
        <w:rPr>
          <w:noProof/>
          <w:sz w:val="28"/>
          <w:szCs w:val="28"/>
        </w:rPr>
        <w:lastRenderedPageBreak/>
        <w:t>работа с убыточными организациями с целью пресечения случаев неполного отражения в учете хозяйственных операций, выявление случаев фальсификации налоговой и бухгалтерской отчетности, выявление схем ухода от налогообложения, а также обеспечение своевременного и полного контроля за соблюдением указанной категорией налогоплательщиков действующего законодательства о налогах и сборах, выявление из их числа организаций, допускающих нарушения налогового законодательства, принятие комплекса мер, направленных на недопущение необоснованного</w:t>
      </w:r>
      <w:proofErr w:type="gramEnd"/>
      <w:r>
        <w:rPr>
          <w:noProof/>
          <w:sz w:val="28"/>
          <w:szCs w:val="28"/>
        </w:rPr>
        <w:t xml:space="preserve"> заявления налоговых убытков;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осуществление контроля за правильностью исчисления регулярных платежей за пользование недрами и иных обязательных платежей при пользовании природными ресурсами;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осуществление контроля за проведением лотерей, в том числе за целевым использованием выручки от проведения лотерей;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осуществление лицензионного контроля за соискателями лицензий (лицензиатами), осуществляющими деятельность по организации и проведению азартных игр в букмекерских конторах и тотализаторах;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оформление результатов камеральных налоговых проверок;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передача в юридический отдел материалов камеральных налоговых проверок для проведения правовой экспертизы;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обеспечение ввода и обработки в базу "Системы ЭОД" данных решений, вынесенных по результатам рассмотрения материалов камеральных проверок, обеспечение вручения (отправки) указанных решений налогоплательщикам;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участие в производстве по делам об административных правонарушениях (составление протоколов об административных правонарушениях);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выявление юридических лиц, обладающих признаками недействующего юридического лица, при наличии оснований инициирование процедуры </w:t>
      </w:r>
      <w:r>
        <w:rPr>
          <w:noProof/>
          <w:sz w:val="28"/>
          <w:szCs w:val="28"/>
        </w:rPr>
        <w:lastRenderedPageBreak/>
        <w:t>исключения из ЕГРЮЛ;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осуществление взаимодействия с правоохранительными органами и иными контролирующими органами по предмету деятельности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 с органами, уполномоченными лицами, обязанными в соответствии с законодательством о налогах и сборах представлять в налоговые органы информацию, необходимую для налогового контроля;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участие в подготовке ответов на письменные запросы налогоплательщиков по вопросам находящимся в компетенции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формирование установленной отчетности по предмету деятельности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подготовка информационных материалов для руководства Инспекции по вопросам находящихся в компетенции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участие в организации и осуществлении мероприятии по профессиональной подготовке и переподготовке кадров для налоговых органов, проведении совещаний, семинаров по вопросам входящих в компетенции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ведение в установленном порядке делопроизводства, хранение и сдача в архив документов структурного подразделения.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Структурное подразделение для осуществления своих основных функций имеет право: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запрашивать и получать от структурных подразделений Инспекции согласно установленному порядку необходимые статистические, аналитические и другие данные, документы, заключения и иные сведения, необходимые для принятия решений по вопросам, отнесенным к компетенции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взаимодействовать в установленном порядке с органами государственной </w:t>
      </w:r>
      <w:r>
        <w:rPr>
          <w:noProof/>
          <w:sz w:val="28"/>
          <w:szCs w:val="28"/>
        </w:rPr>
        <w:lastRenderedPageBreak/>
        <w:t>власти, местного самоуправления, юридическими и физическими лицами по вопросам, входящим в компетенцию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вести переписку по вопросам, относящимся к компетенции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готовить проекты решений и других документов по вопросам, относящимся к компетенции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давать заключения по проектам документов, представленным на заключение другими структурными подразделениями Инспекции;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пользоваться иными правами, предусмотренными законодательными, нормативными правовыми актами Российской Федерации, нормативными и иными правовыми актами ФНС России.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Работа структурного подразделения строится на основе планов работы Инспекции и структурного подразделения, сочетания принципа единоначалия при решении вопросов служебной деятельности и персональной ответственности каждого государственного гражданского служащего структурного подразделения за состояние дел на порученном участке и за выполнение отдельных поручений.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План работы структурного подразделения утверждается начальником Инспекции.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Структурное подразделение решает возложенные на него задачи как непосредственно, так и во взаимодействии с другими структурными подразделениями Инспекции, Управления Федеральной налоговой службы по Омской области и другими территориальными органами ФНС России, с соответствующими органами государственной власти и органами местного самоуправления, иными органами и организациями.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Руководство структурным подразделением осуществляет начальник, назначаемый и освобождаемый от должности начальником Инспекции по </w:t>
      </w:r>
      <w:r>
        <w:rPr>
          <w:noProof/>
          <w:sz w:val="28"/>
          <w:szCs w:val="28"/>
        </w:rPr>
        <w:lastRenderedPageBreak/>
        <w:t>согласованию с Управлением Федеральной налоговой службы по Омской области в соответствии с законодательством Российской Федерации.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Начальник структурного подразделения: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руководит деятельностью структурного подразделения на основе принципа единоначалия;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распределяет обязанности между государственными гражданскими служащими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участвует в подборе, расстановке кадров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создает условия для повышения профессиональной подготовки государственных гражданских служащих структурного подразделения и внедрения передовых приемов и методов работы;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вносит начальнику Инспекции предложения о поощрении государственных гражданских служащих структурного подразделения, наложении на них дисциплинарных взысканий;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принимает меры по обеспечению необходимых условий службы для государственных гражданских служащих структурного подразделения;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представляет интересы Инспекции в государственных органах и различных организациях по вопросам, входящим в компетенцию структурного подразделения, в соответствии с установленным порядком;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планирует и контролирует деятельность структурного подразделения, в том числе по вопросам взаимодействия с другими структурными подразделениями Инспекции в связи с выполнением возложенных на структурное подразделение задач;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разрабатывает и представляет начальнику Инспекции для утверждения должностные регламенты сотрудников структурного подразделения.</w:t>
      </w:r>
    </w:p>
    <w:p w:rsidR="00FF088E" w:rsidRDefault="00FF088E">
      <w:pPr>
        <w:tabs>
          <w:tab w:val="left" w:pos="1014"/>
          <w:tab w:val="right" w:leader="dot" w:pos="9214"/>
          <w:tab w:val="right" w:leader="dot" w:pos="9360"/>
        </w:tabs>
        <w:suppressAutoHyphens/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Начальник структурного подразделения несет персональную ответственность за осуществление возложенных на структурное подразделение </w:t>
      </w:r>
      <w:r>
        <w:rPr>
          <w:noProof/>
          <w:sz w:val="28"/>
          <w:szCs w:val="28"/>
        </w:rPr>
        <w:lastRenderedPageBreak/>
        <w:t>функций, в том числе, за выполнение в рамках компетенции структурного подразделения, планов и показателей деятельности Инспекции.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pStyle w:val="2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r w:rsidRPr="00993DA0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Результаты постановки на учет налогоплательщиков, применяющих упрощенную систему налогообложения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Переход налогоплательщиков на УСН осуществляется в заявительном порядке. Организации подают заявление по ф. 26.2-1 в налоговый орган по месту своего нахождения, а индивидуальные предприниматели по месту жительства. Заявление подается в период с 1 октября по 30 ноября года, предшествующего году, начиная с которого налогоплательщики переходят на УСН.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положениям пункта 2 статьи 346.13 Налогового кодекса Российской </w:t>
      </w:r>
      <w:proofErr w:type="gramStart"/>
      <w:r>
        <w:rPr>
          <w:sz w:val="28"/>
          <w:szCs w:val="28"/>
        </w:rPr>
        <w:t>Федерации</w:t>
      </w:r>
      <w:proofErr w:type="gramEnd"/>
      <w:r>
        <w:rPr>
          <w:sz w:val="28"/>
          <w:szCs w:val="28"/>
        </w:rPr>
        <w:t xml:space="preserve"> вновь созданная организация вправе подать заявление о применении УСН в пятидневный срок с даты постановки на учет в налоговом органе, указанной в свидетельстве о постановке на учет в налоговом органе, выданном в соответствии с пунктом 2 статьи 84 Кодекса [7].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случае организация и индивидуальный предприниматель вправе применять упрощенную систему налогообложения </w:t>
      </w:r>
      <w:proofErr w:type="gramStart"/>
      <w:r>
        <w:rPr>
          <w:sz w:val="28"/>
          <w:szCs w:val="28"/>
        </w:rPr>
        <w:t>с даты постановки</w:t>
      </w:r>
      <w:proofErr w:type="gramEnd"/>
      <w:r>
        <w:rPr>
          <w:sz w:val="28"/>
          <w:szCs w:val="28"/>
        </w:rPr>
        <w:t xml:space="preserve"> их на учет в налоговом органе, указанной в свидетельстве о постановке на учет в налоговом органе (Письмо ФНС России на тему заявления о применении УСН от 12.05.11 № КЕ-4-3/7644@).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Перейти на упрощенную систему налогообложения налогоплательщик может при соблюдении установленных статьей 346.12 НК РФ ограничений: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размер дохода по итогам 9 месяцев того года в котором подается заявление о переходе на УСН, не должен превышать 15 </w:t>
      </w:r>
      <w:proofErr w:type="spellStart"/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 (до 2010 года включительно). Данная величина предельного размера доходов для применения УСН с 2011 года составляет 45 </w:t>
      </w:r>
      <w:proofErr w:type="spellStart"/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 (данное ограничение применяется </w:t>
      </w:r>
      <w:r>
        <w:rPr>
          <w:sz w:val="28"/>
          <w:szCs w:val="28"/>
        </w:rPr>
        <w:lastRenderedPageBreak/>
        <w:t>только для организаций);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размер дохода за календарный год в период применения УСН не должен превышать 20 </w:t>
      </w:r>
      <w:proofErr w:type="spellStart"/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 (с 2010 года и по 2012 год данная величина составляет 60 </w:t>
      </w:r>
      <w:proofErr w:type="spellStart"/>
      <w:r>
        <w:rPr>
          <w:sz w:val="28"/>
          <w:szCs w:val="28"/>
        </w:rPr>
        <w:t>млн.руб</w:t>
      </w:r>
      <w:proofErr w:type="spellEnd"/>
      <w:r>
        <w:rPr>
          <w:sz w:val="28"/>
          <w:szCs w:val="28"/>
        </w:rPr>
        <w:t>.);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среднесписочная численность работников не более 100 человек;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 xml:space="preserve">стоимость амортизируемых основных средств и нематериальных активов не более 100 </w:t>
      </w:r>
      <w:proofErr w:type="spellStart"/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доля участия юридических лиц в предприятии, перешедшем на УСН, в целом не может превышать 25%;</w:t>
      </w:r>
    </w:p>
    <w:p w:rsidR="00FF088E" w:rsidRDefault="00FF088E">
      <w:pPr>
        <w:suppressAutoHyphens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отсутствие филиалов или представительств;</w:t>
      </w:r>
    </w:p>
    <w:p w:rsidR="00FF088E" w:rsidRDefault="00FF088E">
      <w:pPr>
        <w:suppressAutoHyphens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осуществление любого вида деятельности, за исключением (п. 3 ст. 346.12 НК РФ):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банковской;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страховой;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негосударственного пенсионного фонда или инвестиционного фонда;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профессионального участника рынка ценных бумаг;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ломбарда;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производства подакцизных товаров, добычи и реализации полезных ископаемых;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игорного бизнеса;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нотариусов, адвокатов, и иных форм адвокатских образований.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примере ИФНС № 2 рассмотрим результаты постановки на учет налогоплательщиков, применяющих упрощенную систему налогообложения.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Pr="00993D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Анализ постановки на учет налогоплательщиков применяющих </w:t>
      </w:r>
      <w:r>
        <w:rPr>
          <w:sz w:val="28"/>
          <w:szCs w:val="28"/>
        </w:rPr>
        <w:lastRenderedPageBreak/>
        <w:t>УСН в ИФНС №2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5"/>
        <w:gridCol w:w="844"/>
        <w:gridCol w:w="851"/>
        <w:gridCol w:w="850"/>
        <w:gridCol w:w="1134"/>
        <w:gridCol w:w="1134"/>
      </w:tblGrid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Показатели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2009г</w:t>
            </w:r>
            <w:proofErr w:type="gramStart"/>
            <w:r>
              <w:rPr>
                <w:sz w:val="20"/>
                <w:szCs w:val="20"/>
              </w:rPr>
              <w:t>.(</w:t>
            </w:r>
            <w:proofErr w:type="gramEnd"/>
            <w:r>
              <w:rPr>
                <w:sz w:val="20"/>
                <w:szCs w:val="20"/>
              </w:rPr>
              <w:t>ед.)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2010г</w:t>
            </w:r>
            <w:proofErr w:type="gramStart"/>
            <w:r>
              <w:rPr>
                <w:sz w:val="20"/>
                <w:szCs w:val="20"/>
              </w:rPr>
              <w:t>.(</w:t>
            </w:r>
            <w:proofErr w:type="gramEnd"/>
            <w:r>
              <w:rPr>
                <w:sz w:val="20"/>
                <w:szCs w:val="20"/>
              </w:rPr>
              <w:t>ед.)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2011г</w:t>
            </w:r>
            <w:proofErr w:type="gramStart"/>
            <w:r>
              <w:rPr>
                <w:sz w:val="20"/>
                <w:szCs w:val="20"/>
              </w:rPr>
              <w:t>.(</w:t>
            </w:r>
            <w:proofErr w:type="gramEnd"/>
            <w:r>
              <w:rPr>
                <w:sz w:val="20"/>
                <w:szCs w:val="20"/>
              </w:rPr>
              <w:t>ед.)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2010г. к 2009г.(%)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2011г. к 2010г.(%)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зарегистрированных плательщиков УСН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99,55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Подано заявлений на применение УСН, 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65,92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124,83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доход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74,78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104,14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 </w:t>
            </w:r>
            <w:proofErr w:type="gramStart"/>
            <w:r>
              <w:rPr>
                <w:sz w:val="20"/>
                <w:szCs w:val="20"/>
              </w:rPr>
              <w:t>доход</w:t>
            </w:r>
            <w:proofErr w:type="gramEnd"/>
            <w:r>
              <w:rPr>
                <w:sz w:val="20"/>
                <w:szCs w:val="20"/>
              </w:rPr>
              <w:t xml:space="preserve"> уменьшенный на величину расхода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56,82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152,80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Отказано в применении УСН 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Перешли на др. налоговый режим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Окончило деятельность в этом же году в </w:t>
            </w:r>
            <w:proofErr w:type="spellStart"/>
            <w:r>
              <w:rPr>
                <w:sz w:val="20"/>
                <w:szCs w:val="20"/>
              </w:rPr>
              <w:t>т.ч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137,50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объект доход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180,00</w:t>
            </w:r>
          </w:p>
        </w:tc>
      </w:tr>
      <w:tr w:rsidR="00FF088E">
        <w:trPr>
          <w:jc w:val="center"/>
        </w:trPr>
        <w:tc>
          <w:tcPr>
            <w:tcW w:w="4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объект </w:t>
            </w:r>
            <w:proofErr w:type="gramStart"/>
            <w:r>
              <w:rPr>
                <w:sz w:val="20"/>
                <w:szCs w:val="20"/>
              </w:rPr>
              <w:t>доход</w:t>
            </w:r>
            <w:proofErr w:type="gramEnd"/>
            <w:r>
              <w:rPr>
                <w:sz w:val="20"/>
                <w:szCs w:val="20"/>
              </w:rPr>
              <w:t xml:space="preserve"> уменьшенный на величину расхода</w:t>
            </w:r>
          </w:p>
        </w:tc>
        <w:tc>
          <w:tcPr>
            <w:tcW w:w="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F088E" w:rsidRDefault="00FF088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66,67</w:t>
            </w:r>
          </w:p>
        </w:tc>
      </w:tr>
    </w:tbl>
    <w:p w:rsidR="00FF088E" w:rsidRDefault="00FF088E">
      <w:pPr>
        <w:suppressAutoHyphens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плательщиков УСН в 2009 г. составило 4203 ед., в 2010 году их количество возросло на 5,9 %, но в 2011 сократилось на 0,4% или на 20 налогоплательщиков.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Популярность УСН в 2010 году выросла в связи с последними нововведениями в УСН: размер дохода за календарный год в период применения УСН не должен превышать 60 </w:t>
      </w:r>
      <w:proofErr w:type="spellStart"/>
      <w:r>
        <w:rPr>
          <w:sz w:val="28"/>
          <w:szCs w:val="28"/>
        </w:rPr>
        <w:t>млн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</w:t>
      </w:r>
    </w:p>
    <w:p w:rsidR="00FF088E" w:rsidRDefault="00FF088E">
      <w:pPr>
        <w:suppressAutoHyphens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FF088E" w:rsidRDefault="006C6237">
      <w:pPr>
        <w:suppressAutoHyphens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67300" cy="2254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5. Количество зарегистрированных налогоплательщиков УСН за 2009-2011 гг. в ИФНС №2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всего количества плательщиков применяющих упрощенную систему налогообложения </w:t>
      </w:r>
      <w:proofErr w:type="gramStart"/>
      <w:r>
        <w:rPr>
          <w:sz w:val="28"/>
          <w:szCs w:val="28"/>
        </w:rPr>
        <w:t>организации</w:t>
      </w:r>
      <w:proofErr w:type="gramEnd"/>
      <w:r>
        <w:rPr>
          <w:sz w:val="28"/>
          <w:szCs w:val="28"/>
        </w:rPr>
        <w:t xml:space="preserve"> начавшие применение с 2009 года составляют от </w:t>
      </w:r>
      <w:r>
        <w:rPr>
          <w:sz w:val="28"/>
          <w:szCs w:val="28"/>
        </w:rPr>
        <w:lastRenderedPageBreak/>
        <w:t xml:space="preserve">общего количества 10 %, в 2010 году 6,6%, а в 2011 году 8,3%. Причинами снижения количества поданных заявлений на применение УСН называют неблагоприятные последствия экономического кризиса, а так же замену ЕСН страховыми взносами. Плательщики единого налога взимаемого в связи с применением УСН наряду с остальными налогоплательщиками с 2010 года стали плательщиками страховых взносов. В итоге налоговая нагрузка на плательщиков, которые применяют УСН, вместо 14% (пониженная ставка страховых взносов в 2010 году) с 2011 года увеличилась до 34%, то есть налоговая нагрузка увеличилась в 2,5 раза, в то время как для плательщиков налога по общей системе налогообложения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1,5 раза. Столь значительное повышение в условиях кризиса фискальной нагрузки на фонд оплаты труда создаст почву для массовых увольнений работников и может заставить работодателей вернуться к практике конвертных выплат [12].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Из таблицы 2 видно, что количество поданных заявлений на применение УСН сократилось в 2010 г. на 35% по сравнению с 2009 годом, в 2011 году подано на 17,7 % заявлений меньше по сравнению с 2009 году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но при сравнении 2010г. и 2011г. возросло на 24 %, это характерно как для организаций, так и для индивидуальных предпринимателей в независимости от объекта обложения (рис.6). Это связано с неблагоприятной экономической обстановкой в 2008-2010 гг.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F088E" w:rsidRDefault="006C623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lastRenderedPageBreak/>
        <w:drawing>
          <wp:inline distT="0" distB="0" distL="0" distR="0">
            <wp:extent cx="5048250" cy="2197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6. Динамика темпов роста количества поданных заявлений на применение УСН за 2009-2011 гг.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оценивать структуру налогоплательщиков подавших заявления, по указанному объекта налогообложения, то в 2009 году и в 2010 году большим количество плательщиков был выбран объект "доход" 50, 68% и 57,48% соответственно, чем объекта налогообложения "</w:t>
      </w:r>
      <w:proofErr w:type="gramStart"/>
      <w:r>
        <w:rPr>
          <w:sz w:val="28"/>
          <w:szCs w:val="28"/>
        </w:rPr>
        <w:t>доход</w:t>
      </w:r>
      <w:proofErr w:type="gramEnd"/>
      <w:r>
        <w:rPr>
          <w:sz w:val="28"/>
          <w:szCs w:val="28"/>
        </w:rPr>
        <w:t xml:space="preserve"> уменьшенный на величину расхода". В 2011 году наблюдается обратная ситуация налогоплательщиков выбравших для себя объект налогообложения "доход уменьшенный на величину расхода" оказалось 52,04 %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период 2009 - 2011 гг. наибольшее количество отказов в применении УСН было в 2009 году 10 ед., в 2010г. и в 2011г. 1 ед. Основная причина отказа: не своевременность подачи заявления для перехода на упрощенную систему налогообложения.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налогоплательщики перешедшие с УСН на другие режимы налогообложения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налогового периода равно 0 в период с 2009-2011 гг. В 2008 году их количество составляло 2 организации.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2009 г. прекратили свою деятельность до окончания налогового периода 11 налогоплательщиков, в 2010 г. на 27,27% меньше и составило 8 ед., в 2011 г. -11 организаций.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Организации</w:t>
      </w:r>
      <w:proofErr w:type="gramEnd"/>
      <w:r>
        <w:rPr>
          <w:sz w:val="28"/>
          <w:szCs w:val="28"/>
        </w:rPr>
        <w:t xml:space="preserve"> которые формально удовлетворяют критериям применения УСН, основными причинами "не перехода" на УСН называют: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опасения бизнеса выйти за рамки установленных критериев. Налогоплательщик считается перешедшим на общий режим налогообложения с того отчетного периода, в котором было допущено превышение критериев. При этом необходимо обязательно уведомить налоговый орган о переходе на общий режим налогообложения в течение 15 дней. К тому же организации придется восстановить бухгалтерский учет, пересчитать налоги и доплатить их в бюджет. Чтобы восстановить бухгалтерский учет, следует провести инвентаризацию и сформировать остатки по счетам, это процесс достаточно трудоемкий;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ab/>
      </w:r>
      <w:r>
        <w:rPr>
          <w:sz w:val="28"/>
          <w:szCs w:val="28"/>
        </w:rPr>
        <w:t>"забота о контрагентах" (часто эта причина называется торговыми предприятиями). Заказчикам "неудобно" работать с предприятиями, находящимися на УСН, поскольку последние не являются плательщиком НДС и заказчики не могут учесть уплаченный НДС и уменьшить сумму, необходимую к уплате этого налога в бюджет (24% ответивших)[12].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pStyle w:val="2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2.3 Анализ сумм начисленного и уплаченного единого налога, взимаемого при применении упрощенной системы налогообложения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применения упрощенной системы налогообложения с точки зрения экономики является создание благоприятной </w:t>
      </w:r>
      <w:proofErr w:type="gramStart"/>
      <w:r>
        <w:rPr>
          <w:sz w:val="28"/>
          <w:szCs w:val="28"/>
        </w:rPr>
        <w:t>бизнес-среды</w:t>
      </w:r>
      <w:proofErr w:type="gramEnd"/>
      <w:r>
        <w:rPr>
          <w:sz w:val="28"/>
          <w:szCs w:val="28"/>
        </w:rPr>
        <w:t>, стимулирование роста предпринимательства, увеличения налоговых поступлений является в данном случае производной. Российский опыт применения упрощенной системы налогообложения показал, что снижение налоговой нагрузки на бизнес, перешедший на УСН, за счет сокращения теневого оборота и роста производства привел в конечном итоге к росту налоговых поступлений. Следовательно, чем больше хозяйствующих субъектов смогут воспользоваться УСН, тем лучше будут "чувствовать себя" не только предприниматели, но и, в итоге, бюджеты [5].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ИФНС №2 по ЦАО г. Омска сумма начисленного налога, взимаемого при применении упрощенной системы налогообложения в 2008 году составила 350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., в 2009 году сумма налога сократилась на 42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 или на 22% и составила 308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 В 2010 году сумма начисленного налога не только увеличилась по сравнению с 2009 годом на 19,85 % или 61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., но и превысила уровень 2008 года на 19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 составив 369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 (Приложение 3,4).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долю организаций приходится 71% от суммы исчисленного налога в 2008 году, в 2009 году - 68,5%, в 2010 году -76,39%.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начисленного и уплаченного налога увеличилась в 2010 году ввиду увеличения размера дохода за календарный год в период применения УСН не должен превышать 60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 (хотя организации, перешедших на применение УСН стало меньше по данным предыдущего параграфа), следовательно что и налоговая база для уплаты налога возросла.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Наибольшая сумма налога начислена при применении в качестве объекта </w:t>
      </w:r>
      <w:r>
        <w:rPr>
          <w:sz w:val="28"/>
          <w:szCs w:val="28"/>
        </w:rPr>
        <w:lastRenderedPageBreak/>
        <w:t>налогообложения доход. Ее доля в 2008 году составила 79,14 % от общей суммы исчисленного налога, в 2009 году- 80,52% и в 2010 году -80,76% .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6C623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016500" cy="20891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7. Суммы исчисленного и уплаченного налога взимаемого в связи с применение УСН за 2008-2010 гг. (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.)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уплаченного за налоговый период налога при применении УСН в 2009 году сократилась по сравнению с 2008 году на 35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 (на 13 %) и составила 237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., в 2010 году сумма уплаченного налога возросла до 281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 что на 18,5% больше по сравнению с 2009 годом.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недоимки составила в 2008 году -78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 xml:space="preserve">., в 2009 году -71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 xml:space="preserve">. и в 2010 году - 88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рост количества организаций и индивидуальных предпринимателей, перешедших на УСН, и как следствие - рост налоговых поступлений от УСН в 2010 году, объясняется не только обычной популярностью среди реальных организаций малого сектора, но и популярностью среди организаций, которые хотят осуществить минимизацию налогообложения.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pStyle w:val="1"/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kern w:val="32"/>
          <w:sz w:val="28"/>
          <w:szCs w:val="28"/>
        </w:rPr>
        <w:lastRenderedPageBreak/>
        <w:t>Заключение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Специальный налоговый режим в виде упрощенной системы налогообложения дает множество преимуществ налогоплательщикам, которые используют данный режим. Во-первых, переход на упрощенную систему является добровольным, что само по себе положительно, так как не всем предприятиям выгодно применение УСН.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Во-вторых, объект, выбираемый налогоплательщиками, по их желанию изменяется ежегодно, поэтому организация может не беспокоиться, если вдруг ее доходы вырастут в разы (при объекте "доходы"), или наоборот, снизятся расходы (при объекте "доходы - расходы"), что приведет к увеличению суммы единого налога.</w:t>
      </w:r>
      <w:proofErr w:type="gramEnd"/>
      <w:r>
        <w:rPr>
          <w:sz w:val="28"/>
          <w:szCs w:val="28"/>
        </w:rPr>
        <w:t xml:space="preserve"> Налогоплательщики могут "спланировать" тот объект, который будет для них выгоднее в том или другом налоговом периоде.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В-третьих, налогоплательщики обязаны подавать налоговую декларацию только по итогам налогового периода. Это значительно снизит документооборот, что является большим плюсом. Ну и в-четвертых, то, что в бюджет необходимо заплатить сумму, гораздо меньшую, чем при общем режиме налогообложения, является основным и неоспоримым преимуществом налогообложения.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Специальный налоговый режим в виде упрощенной системы налогообложения очень важен, так как в условиях мирового финансового кризиса субъектам малого и среднего бизнеса, составляющих основу экономики любого развитого государства, очень сложно удержаться "на плаву" и не обанкротиться. Упрощенная система налогообложения дает возможность данным предприятиям снизить свои расходы и направить часть денежных средств на стабилизацию своей деятельности.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pStyle w:val="1"/>
        <w:suppressAutoHyphens/>
        <w:spacing w:line="360" w:lineRule="auto"/>
        <w:ind w:firstLine="709"/>
        <w:jc w:val="both"/>
        <w:rPr>
          <w:kern w:val="32"/>
          <w:sz w:val="28"/>
          <w:szCs w:val="28"/>
        </w:rPr>
      </w:pPr>
      <w:r>
        <w:rPr>
          <w:kern w:val="32"/>
          <w:sz w:val="28"/>
          <w:szCs w:val="28"/>
        </w:rPr>
        <w:br w:type="page"/>
      </w:r>
      <w:r>
        <w:rPr>
          <w:kern w:val="32"/>
          <w:sz w:val="28"/>
          <w:szCs w:val="28"/>
        </w:rPr>
        <w:lastRenderedPageBreak/>
        <w:t>Список литературы</w:t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tabs>
          <w:tab w:val="left" w:pos="720"/>
        </w:tabs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Налоговый кодекс РФ: текст с изменениями дополнениями на 1 августа 2010 г.-М.:ООО "Рид Групп",2010.-864с.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Приказ ФНС России от 16.12.2010 г. №ШТ-7-1/688 "Отчет о налоговой базе и структуре начислений по налогу, уплачиваемому в связи с применением упрощенной системы налогообложения по итогам 2010 года</w:t>
      </w:r>
      <w:proofErr w:type="gramStart"/>
      <w:r>
        <w:rPr>
          <w:sz w:val="28"/>
          <w:szCs w:val="28"/>
        </w:rPr>
        <w:t>"</w:t>
      </w:r>
      <w:proofErr w:type="gramEnd"/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Приказ ФНС России от 30.12.2009 г. №ММ-3-1/693 "Отчет о налоговой базе и структуре начислений по налогу, уплачиваемому в связи с применением упрощенной системы налогообложения по итогам 2009 года"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Приказ ФНС России от 21.12.2008 г. №ММ-3-10/691 "Отчет о налоговой базе и структуре начислений по налогу, уплачиваемому в связи с применением упрощенной системы налогообложения по итогам 2008 года"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Александров И.М. Налоги и налогообложение: учебник/ И.М. Александров. - М.: "Дашков и К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", 2009. - 296 с.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Дмитриева Н.Г. Налоги и налогообложение: учебное пособие/ Н.Г. Дмитриева, Д.Б. Дмитриев. - Ростов-на-Дону: Феникс,2009. - 416с</w:t>
      </w:r>
      <w:proofErr w:type="gramStart"/>
      <w:r>
        <w:rPr>
          <w:sz w:val="28"/>
          <w:szCs w:val="28"/>
        </w:rPr>
        <w:t>.</w:t>
      </w:r>
      <w:proofErr w:type="gramEnd"/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Пансков</w:t>
      </w:r>
      <w:proofErr w:type="spellEnd"/>
      <w:r>
        <w:rPr>
          <w:sz w:val="28"/>
          <w:szCs w:val="28"/>
        </w:rPr>
        <w:t xml:space="preserve"> В.Г. Налоги и налоговая система РФ: учебник/ В.Г. </w:t>
      </w:r>
      <w:proofErr w:type="spellStart"/>
      <w:r>
        <w:rPr>
          <w:sz w:val="28"/>
          <w:szCs w:val="28"/>
        </w:rPr>
        <w:t>Пансков</w:t>
      </w:r>
      <w:proofErr w:type="spellEnd"/>
      <w:r>
        <w:rPr>
          <w:sz w:val="28"/>
          <w:szCs w:val="28"/>
        </w:rPr>
        <w:t xml:space="preserve">. - М.: </w:t>
      </w:r>
      <w:proofErr w:type="spellStart"/>
      <w:r>
        <w:rPr>
          <w:sz w:val="28"/>
          <w:szCs w:val="28"/>
        </w:rPr>
        <w:t>Юрайс</w:t>
      </w:r>
      <w:proofErr w:type="spellEnd"/>
      <w:r>
        <w:rPr>
          <w:sz w:val="28"/>
          <w:szCs w:val="28"/>
        </w:rPr>
        <w:t>, 2011. - 680с</w:t>
      </w:r>
      <w:proofErr w:type="gramStart"/>
      <w:r>
        <w:rPr>
          <w:sz w:val="28"/>
          <w:szCs w:val="28"/>
        </w:rPr>
        <w:t>.</w:t>
      </w:r>
      <w:proofErr w:type="gramEnd"/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Брыгалин</w:t>
      </w:r>
      <w:proofErr w:type="spellEnd"/>
      <w:r>
        <w:rPr>
          <w:sz w:val="28"/>
          <w:szCs w:val="28"/>
        </w:rPr>
        <w:t xml:space="preserve"> А.В. Новое в налогообложении в 2012 году: изменения во второй главе НК РФ/А.В. </w:t>
      </w:r>
      <w:proofErr w:type="spellStart"/>
      <w:r>
        <w:rPr>
          <w:sz w:val="28"/>
          <w:szCs w:val="28"/>
        </w:rPr>
        <w:t>Брылагин</w:t>
      </w:r>
      <w:proofErr w:type="spellEnd"/>
      <w:r>
        <w:rPr>
          <w:sz w:val="28"/>
          <w:szCs w:val="28"/>
        </w:rPr>
        <w:t>// Налоги и финансовое право.-2011.-№ 2.-с. 39-82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Золотухин М. Особенности применения специальных налоговых режимов в соответствии с гл. 26.2 и 26.3 НК РФ/ М. Золотухин// контроль, ревизия, проверка.-2011.-№2.- с. 36-52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Красилов Н.В. изменения в налоговом законодательстве в 2011 году/ Н.В. Красилов// Налоги.-2011.-№ 3.-с. 45-92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Крылов Д.В. Переход на УСН/ Д.В. Крылов// Бухгалтерский </w:t>
      </w:r>
      <w:r>
        <w:rPr>
          <w:sz w:val="28"/>
          <w:szCs w:val="28"/>
        </w:rPr>
        <w:lastRenderedPageBreak/>
        <w:t>учет.-2011.-№4.- с. 65-72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Стеблина И.В. УСН как альтернативная система налогообложения для субъектов малого предпринимательства/ И.В. Стеблина// Российский налоговый курьер.-2010.-№12.- с.22-27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Опыты на живом бизнесе [Электронный ресурс]/ </w:t>
      </w:r>
      <w:proofErr w:type="spellStart"/>
      <w:r>
        <w:rPr>
          <w:sz w:val="28"/>
          <w:szCs w:val="28"/>
        </w:rPr>
        <w:t>М.Орлов</w:t>
      </w:r>
      <w:proofErr w:type="spellEnd"/>
      <w:r>
        <w:rPr>
          <w:sz w:val="28"/>
          <w:szCs w:val="28"/>
        </w:rPr>
        <w:t>-Электрон. Дан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 xml:space="preserve">М.: Большой бизнес,2010г.- Режим доступа: http://www.bolshoybusiness.ru/archive/41/999/, свободный. -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http://www.nalog.ru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http://www.r55.nalog.ru</w:t>
      </w:r>
    </w:p>
    <w:p w:rsidR="00FF088E" w:rsidRDefault="00FF088E">
      <w:pPr>
        <w:suppressAutoHyphens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.</w:t>
      </w:r>
      <w:r>
        <w:rPr>
          <w:sz w:val="28"/>
          <w:szCs w:val="28"/>
        </w:rPr>
        <w:tab/>
        <w:t>http://mf.omskportal.ru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993DA0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1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Отчет о налоговой базе и структуре начислений по налогу, уплачиваемому в связи с применением упрощенной системы налогообложения в Омской области за 2008-2010 гг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.)[2,3,4].</w:t>
      </w:r>
    </w:p>
    <w:p w:rsidR="00FF088E" w:rsidRDefault="006C6237">
      <w:pPr>
        <w:suppressAutoHyphens/>
        <w:spacing w:line="360" w:lineRule="auto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594350" cy="30861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6C6237">
      <w:pPr>
        <w:suppressAutoHyphens/>
        <w:spacing w:line="360" w:lineRule="auto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3911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2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Динамика налоговой базы и структуры начислений по налогу, уплачиваемому в связи с применением упрощенной системы налогообложения Омской области за 2008-2010гг</w:t>
      </w:r>
      <w:proofErr w:type="gramStart"/>
      <w:r>
        <w:rPr>
          <w:sz w:val="28"/>
          <w:szCs w:val="28"/>
        </w:rPr>
        <w:t>.(</w:t>
      </w:r>
      <w:proofErr w:type="spellStart"/>
      <w:proofErr w:type="gramEnd"/>
      <w:r>
        <w:rPr>
          <w:sz w:val="28"/>
          <w:szCs w:val="28"/>
        </w:rPr>
        <w:t>тыс.руб</w:t>
      </w:r>
      <w:proofErr w:type="spellEnd"/>
      <w:r>
        <w:rPr>
          <w:sz w:val="28"/>
          <w:szCs w:val="28"/>
        </w:rPr>
        <w:t>.)[2,3,4].</w:t>
      </w:r>
    </w:p>
    <w:p w:rsidR="00FF088E" w:rsidRDefault="006C6237">
      <w:pPr>
        <w:suppressAutoHyphens/>
        <w:spacing w:line="360" w:lineRule="auto"/>
        <w:jc w:val="both"/>
        <w:rPr>
          <w:sz w:val="28"/>
          <w:szCs w:val="28"/>
          <w:lang w:val="en-US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575300" cy="32512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3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Структуры начислений по налогу, уплачиваемому в связи с применением упрощенной системы налогообложения в ИФНС №2 2008-2010 гг. (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.)[</w:t>
      </w:r>
    </w:p>
    <w:p w:rsidR="00FF088E" w:rsidRDefault="006C6237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308600" cy="19875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4</w:t>
      </w:r>
    </w:p>
    <w:p w:rsidR="00FF088E" w:rsidRPr="00993DA0" w:rsidRDefault="00FF088E">
      <w:pPr>
        <w:suppressAutoHyphens/>
        <w:spacing w:line="360" w:lineRule="auto"/>
        <w:ind w:firstLine="709"/>
        <w:jc w:val="both"/>
        <w:rPr>
          <w:sz w:val="28"/>
          <w:szCs w:val="28"/>
        </w:rPr>
      </w:pPr>
    </w:p>
    <w:p w:rsidR="00FF088E" w:rsidRDefault="00FF088E">
      <w:pPr>
        <w:suppressAutoHyphens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Динамика структуры начислений по налогу, уплачиваемому в связи с применением упрощенной системы налогообложения в ИФНС №2 2008-2010 гг. (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</w:t>
      </w:r>
      <w:proofErr w:type="spellEnd"/>
      <w:r>
        <w:rPr>
          <w:sz w:val="28"/>
          <w:szCs w:val="28"/>
        </w:rPr>
        <w:t>.)</w:t>
      </w:r>
    </w:p>
    <w:p w:rsidR="00FF088E" w:rsidRDefault="006C6237">
      <w:pPr>
        <w:suppressAutoHyphens/>
        <w:spacing w:line="360" w:lineRule="auto"/>
        <w:jc w:val="both"/>
        <w:rPr>
          <w:rFonts w:ascii="Microsoft Sans Serif" w:hAnsi="Microsoft Sans Serif" w:cs="Microsoft Sans Serif"/>
          <w:sz w:val="17"/>
          <w:szCs w:val="17"/>
        </w:rPr>
      </w:pPr>
      <w:r>
        <w:rPr>
          <w:rFonts w:ascii="Microsoft Sans Serif" w:hAnsi="Microsoft Sans Serif" w:cs="Microsoft Sans Serif"/>
          <w:noProof/>
          <w:sz w:val="17"/>
          <w:szCs w:val="17"/>
        </w:rPr>
        <w:drawing>
          <wp:inline distT="0" distB="0" distL="0" distR="0">
            <wp:extent cx="5429250" cy="2254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472"/>
      </w:tblGrid>
      <w:tr w:rsidR="00993DA0" w:rsidTr="007A2867">
        <w:trPr>
          <w:jc w:val="center"/>
        </w:trPr>
        <w:tc>
          <w:tcPr>
            <w:tcW w:w="8472" w:type="dxa"/>
            <w:hideMark/>
          </w:tcPr>
          <w:p w:rsidR="00993DA0" w:rsidRDefault="00EE52BD" w:rsidP="007A2867">
            <w:pPr>
              <w:spacing w:line="360" w:lineRule="auto"/>
              <w:textAlignment w:val="baseline"/>
              <w:rPr>
                <w:rFonts w:ascii="Arial" w:hAnsi="Arial" w:cs="Times New Roman"/>
                <w:color w:val="444444"/>
                <w:sz w:val="21"/>
                <w:szCs w:val="21"/>
                <w:lang w:eastAsia="ru-RU"/>
              </w:rPr>
            </w:pPr>
            <w:hyperlink r:id="rId23" w:history="1"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993DA0" w:rsidRPr="00464E3E" w:rsidRDefault="00EE52BD" w:rsidP="007A2867">
            <w:pPr>
              <w:spacing w:line="360" w:lineRule="auto"/>
              <w:textAlignment w:val="baseline"/>
              <w:rPr>
                <w:rFonts w:ascii="Arial" w:hAnsi="Arial" w:cs="Times New Roman"/>
                <w:color w:val="444444"/>
                <w:sz w:val="21"/>
                <w:szCs w:val="21"/>
                <w:lang w:eastAsia="ru-RU"/>
              </w:rPr>
            </w:pPr>
            <w:hyperlink r:id="rId24" w:history="1">
              <w:proofErr w:type="spellStart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>Рерайт</w:t>
              </w:r>
              <w:proofErr w:type="spellEnd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 xml:space="preserve"> текстов и </w:t>
              </w:r>
              <w:proofErr w:type="spellStart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>уникализация</w:t>
              </w:r>
              <w:proofErr w:type="spellEnd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 xml:space="preserve"> 90 %</w:t>
              </w:r>
            </w:hyperlink>
          </w:p>
          <w:p w:rsidR="00993DA0" w:rsidRDefault="00EE52BD" w:rsidP="007A2867">
            <w:pPr>
              <w:spacing w:line="360" w:lineRule="auto"/>
              <w:textAlignment w:val="baseline"/>
              <w:rPr>
                <w:rFonts w:ascii="Arial" w:hAnsi="Arial" w:cs="Times New Roman"/>
                <w:color w:val="444444"/>
                <w:sz w:val="21"/>
                <w:szCs w:val="21"/>
                <w:lang w:eastAsia="ru-RU"/>
              </w:rPr>
            </w:pPr>
            <w:hyperlink r:id="rId25" w:history="1"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>Написание по заказу контрольных, дипломов, диссертаций.</w:t>
              </w:r>
              <w:proofErr w:type="gramStart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 xml:space="preserve"> .</w:t>
              </w:r>
              <w:proofErr w:type="gramEnd"/>
              <w:r w:rsidR="00993DA0">
                <w:rPr>
                  <w:rStyle w:val="a3"/>
                  <w:rFonts w:cs="Times New Roman"/>
                  <w:sz w:val="21"/>
                  <w:szCs w:val="21"/>
                  <w:lang w:eastAsia="ru-RU"/>
                </w:rPr>
                <w:t xml:space="preserve"> .</w:t>
              </w:r>
            </w:hyperlink>
          </w:p>
        </w:tc>
      </w:tr>
    </w:tbl>
    <w:p w:rsidR="00D71D09" w:rsidRPr="00D71D09" w:rsidRDefault="00D71D09" w:rsidP="00D71D09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227"/>
        <w:gridCol w:w="6678"/>
      </w:tblGrid>
      <w:tr w:rsidR="00D71D09" w:rsidRPr="00D71D09" w:rsidTr="00827723">
        <w:tc>
          <w:tcPr>
            <w:tcW w:w="3227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hyperlink r:id="rId26" w:history="1">
              <w:r w:rsidRPr="00D71D09">
                <w:rPr>
                  <w:rFonts w:ascii="Arial Black" w:eastAsiaTheme="minorHAnsi" w:hAnsi="Arial Black" w:cstheme="minorBidi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D71D0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56B288A" wp14:editId="5AFF1D62">
                  <wp:extent cx="3784600" cy="12573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D09" w:rsidRPr="00D71D09" w:rsidRDefault="00D71D09" w:rsidP="00D71D09">
      <w:pPr>
        <w:widowControl/>
        <w:autoSpaceDE/>
        <w:autoSpaceDN/>
        <w:adjustRightInd/>
        <w:spacing w:after="200" w:line="480" w:lineRule="auto"/>
        <w:jc w:val="center"/>
        <w:rPr>
          <w:rFonts w:ascii="Arial Black" w:eastAsiaTheme="minorHAnsi" w:hAnsi="Arial Black" w:cstheme="minorBidi"/>
          <w:b/>
          <w:sz w:val="16"/>
          <w:szCs w:val="16"/>
          <w:lang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D71D09" w:rsidRPr="00D71D09" w:rsidTr="00827723">
        <w:tc>
          <w:tcPr>
            <w:tcW w:w="4952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hyperlink r:id="rId28" w:history="1">
              <w:r w:rsidRPr="00D71D09">
                <w:rPr>
                  <w:rFonts w:ascii="Arial Black" w:eastAsiaTheme="minorHAnsi" w:hAnsi="Arial Black" w:cstheme="minorBidi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D71D0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8171DFC" wp14:editId="79E5F6CE">
                  <wp:extent cx="2184400" cy="1962150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D09" w:rsidRPr="00D71D09" w:rsidRDefault="00D71D09" w:rsidP="00D71D09">
      <w:pPr>
        <w:widowControl/>
        <w:autoSpaceDE/>
        <w:autoSpaceDN/>
        <w:adjustRightInd/>
        <w:spacing w:after="200" w:line="480" w:lineRule="auto"/>
        <w:jc w:val="center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D71D09" w:rsidRPr="00D71D09" w:rsidTr="00827723">
        <w:trPr>
          <w:jc w:val="center"/>
        </w:trPr>
        <w:tc>
          <w:tcPr>
            <w:tcW w:w="3594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="Arial Black" w:eastAsiaTheme="minorHAnsi" w:hAnsi="Arial Black" w:cs="Arial"/>
                <w:b/>
                <w:sz w:val="28"/>
                <w:szCs w:val="28"/>
                <w:lang w:eastAsia="en-US"/>
              </w:rPr>
            </w:pPr>
            <w:hyperlink r:id="rId30" w:history="1">
              <w:r w:rsidRPr="00D71D09">
                <w:rPr>
                  <w:rFonts w:ascii="Arial Black" w:eastAsiaTheme="minorHAnsi" w:hAnsi="Arial Black" w:cstheme="minorBidi"/>
                  <w:b/>
                  <w:color w:val="0000FF" w:themeColor="hyperlink"/>
                  <w:sz w:val="28"/>
                  <w:szCs w:val="28"/>
                  <w:u w:val="single"/>
                  <w:lang w:eastAsia="en-US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="Arial Black" w:eastAsiaTheme="minorHAnsi" w:hAnsi="Arial Black" w:cs="Arial"/>
                <w:b/>
                <w:sz w:val="28"/>
                <w:szCs w:val="28"/>
                <w:lang w:eastAsia="en-US"/>
              </w:rPr>
            </w:pPr>
            <w:r w:rsidRPr="00D71D0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63A27C3" wp14:editId="00141F1D">
                  <wp:extent cx="1600200" cy="16002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D09" w:rsidRPr="00D71D09" w:rsidRDefault="00D71D09" w:rsidP="00D71D09">
      <w:pPr>
        <w:widowControl/>
        <w:autoSpaceDE/>
        <w:autoSpaceDN/>
        <w:adjustRightInd/>
        <w:spacing w:after="200" w:line="480" w:lineRule="auto"/>
        <w:jc w:val="center"/>
        <w:rPr>
          <w:rFonts w:ascii="Arial Black" w:eastAsiaTheme="minorHAnsi" w:hAnsi="Arial Black" w:cs="Arial"/>
          <w:b/>
          <w:sz w:val="16"/>
          <w:szCs w:val="16"/>
          <w:lang w:val="en-US" w:eastAsia="en-US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652"/>
        <w:gridCol w:w="6253"/>
      </w:tblGrid>
      <w:tr w:rsidR="00D71D09" w:rsidRPr="00D71D09" w:rsidTr="00827723">
        <w:tc>
          <w:tcPr>
            <w:tcW w:w="3652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hyperlink r:id="rId32" w:history="1">
              <w:r w:rsidRPr="00D71D09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IT-</w:t>
              </w:r>
              <w:proofErr w:type="spellStart"/>
              <w:r w:rsidRPr="00D71D09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специалисты</w:t>
              </w:r>
              <w:proofErr w:type="spellEnd"/>
              <w:r w:rsidRPr="00D71D09">
                <w:rPr>
                  <w:rFonts w:ascii="Arial Black" w:eastAsiaTheme="minorHAnsi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 w:eastAsia="en-US"/>
                </w:rPr>
                <w:t>: ПОВЫШЕНИЕ КВАЛИФИКАЦИИ</w:t>
              </w:r>
            </w:hyperlink>
          </w:p>
        </w:tc>
        <w:tc>
          <w:tcPr>
            <w:tcW w:w="6253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480" w:lineRule="auto"/>
              <w:jc w:val="center"/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/>
              </w:rPr>
            </w:pPr>
            <w:r w:rsidRPr="00D71D09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EFA42A6" wp14:editId="01DBAD1B">
                  <wp:extent cx="3752850" cy="1843214"/>
                  <wp:effectExtent l="0" t="0" r="0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D09" w:rsidRPr="00D71D09" w:rsidRDefault="00D71D09" w:rsidP="00D71D09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936"/>
        <w:gridCol w:w="5969"/>
      </w:tblGrid>
      <w:tr w:rsidR="00D71D09" w:rsidRPr="00D71D09" w:rsidTr="00827723">
        <w:tc>
          <w:tcPr>
            <w:tcW w:w="3936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hyperlink r:id="rId34" w:history="1">
              <w:r w:rsidRPr="00D71D09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ФИТНЕС </w:t>
              </w:r>
              <w:proofErr w:type="spellStart"/>
              <w:r w:rsidRPr="00D71D09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>на</w:t>
              </w:r>
              <w:proofErr w:type="spellEnd"/>
              <w:r w:rsidRPr="00D71D09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 w:eastAsia="en-US"/>
                </w:rPr>
                <w:t xml:space="preserve"> ДОМУ</w:t>
              </w:r>
            </w:hyperlink>
          </w:p>
        </w:tc>
        <w:tc>
          <w:tcPr>
            <w:tcW w:w="5969" w:type="dxa"/>
          </w:tcPr>
          <w:p w:rsidR="00D71D09" w:rsidRPr="00D71D09" w:rsidRDefault="00D71D09" w:rsidP="00D71D09">
            <w:pPr>
              <w:widowControl/>
              <w:autoSpaceDE/>
              <w:autoSpaceDN/>
              <w:adjustRightInd/>
              <w:spacing w:after="200" w:line="276" w:lineRule="auto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D71D09">
              <w:rPr>
                <w:rFonts w:ascii="Calibri" w:eastAsia="Calibri" w:hAnsi="Calibri" w:cs="Times New Roman"/>
                <w:noProof/>
                <w:sz w:val="22"/>
                <w:szCs w:val="22"/>
              </w:rPr>
              <w:drawing>
                <wp:inline distT="0" distB="0" distL="0" distR="0" wp14:anchorId="638C9AE8" wp14:editId="241F95AB">
                  <wp:extent cx="2806700" cy="187113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D09" w:rsidRPr="00D71D09" w:rsidRDefault="00D71D09" w:rsidP="00D71D09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sz w:val="16"/>
          <w:szCs w:val="16"/>
          <w:lang w:eastAsia="en-US"/>
        </w:rPr>
      </w:pPr>
    </w:p>
    <w:p w:rsidR="00993DA0" w:rsidRPr="00993DA0" w:rsidRDefault="00993DA0">
      <w:pPr>
        <w:suppressAutoHyphens/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sectPr w:rsidR="00993DA0" w:rsidRPr="00993DA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2BD" w:rsidRDefault="00EE52BD" w:rsidP="000D6ECA">
      <w:r>
        <w:separator/>
      </w:r>
    </w:p>
  </w:endnote>
  <w:endnote w:type="continuationSeparator" w:id="0">
    <w:p w:rsidR="00EE52BD" w:rsidRDefault="00EE52BD" w:rsidP="000D6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ECA" w:rsidRDefault="000D6EC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ECA" w:rsidRDefault="000D6ECA" w:rsidP="000D6ECA">
    <w:pPr>
      <w:pStyle w:val="a7"/>
    </w:pPr>
    <w:r>
      <w:t xml:space="preserve">Вернуться в каталог готовых дипломов и магистерских диссертаций </w:t>
    </w:r>
  </w:p>
  <w:p w:rsidR="000D6ECA" w:rsidRDefault="000D6ECA" w:rsidP="000D6ECA">
    <w:pPr>
      <w:pStyle w:val="a7"/>
    </w:pPr>
    <w:r>
      <w:t>http://учебники</w:t>
    </w:r>
    <w:proofErr w:type="gramStart"/>
    <w:r>
      <w:t>.и</w:t>
    </w:r>
    <w:proofErr w:type="gramEnd"/>
    <w:r>
      <w:t>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ECA" w:rsidRDefault="000D6E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2BD" w:rsidRDefault="00EE52BD" w:rsidP="000D6ECA">
      <w:r>
        <w:separator/>
      </w:r>
    </w:p>
  </w:footnote>
  <w:footnote w:type="continuationSeparator" w:id="0">
    <w:p w:rsidR="00EE52BD" w:rsidRDefault="00EE52BD" w:rsidP="000D6E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ECA" w:rsidRDefault="000D6EC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774E" w:rsidRDefault="00D0774E" w:rsidP="00D0774E">
    <w:pPr>
      <w:pStyle w:val="a5"/>
    </w:pPr>
    <w:r>
      <w:t>Узнайте стоимость написания на заказ студенческих и аспирантских работ</w:t>
    </w:r>
  </w:p>
  <w:p w:rsidR="000D6ECA" w:rsidRDefault="00D0774E" w:rsidP="00D0774E">
    <w:pPr>
      <w:pStyle w:val="a5"/>
    </w:pPr>
    <w:r>
      <w:t>http://учебники</w:t>
    </w:r>
    <w:proofErr w:type="gramStart"/>
    <w:r>
      <w:t>.и</w:t>
    </w:r>
    <w:proofErr w:type="gramEnd"/>
    <w:r>
      <w:t>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ECA" w:rsidRDefault="000D6EC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DA0"/>
    <w:rsid w:val="000D6ECA"/>
    <w:rsid w:val="00464E3E"/>
    <w:rsid w:val="006C6237"/>
    <w:rsid w:val="007A2867"/>
    <w:rsid w:val="00993DA0"/>
    <w:rsid w:val="00A55876"/>
    <w:rsid w:val="00B928D8"/>
    <w:rsid w:val="00B945DB"/>
    <w:rsid w:val="00D0774E"/>
    <w:rsid w:val="00D71D09"/>
    <w:rsid w:val="00EE52BD"/>
    <w:rsid w:val="00FF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993DA0"/>
    <w:rPr>
      <w:color w:val="0000FF"/>
      <w:u w:val="single"/>
    </w:rPr>
  </w:style>
  <w:style w:type="table" w:styleId="a4">
    <w:name w:val="Table Grid"/>
    <w:basedOn w:val="a1"/>
    <w:uiPriority w:val="59"/>
    <w:rsid w:val="00993DA0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D6E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6ECA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0D6E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6ECA"/>
    <w:rPr>
      <w:rFonts w:ascii="Times New Roman CYR" w:hAnsi="Times New Roman CYR" w:cs="Times New Roman CYR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71D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1D0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D71D09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D71D09"/>
    <w:pPr>
      <w:spacing w:after="0" w:line="240" w:lineRule="auto"/>
    </w:pPr>
    <w:rPr>
      <w:rFonts w:eastAsia="Times New Roman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993DA0"/>
    <w:rPr>
      <w:color w:val="0000FF"/>
      <w:u w:val="single"/>
    </w:rPr>
  </w:style>
  <w:style w:type="table" w:styleId="a4">
    <w:name w:val="Table Grid"/>
    <w:basedOn w:val="a1"/>
    <w:uiPriority w:val="59"/>
    <w:rsid w:val="00993DA0"/>
    <w:pPr>
      <w:spacing w:after="0" w:line="240" w:lineRule="auto"/>
    </w:pPr>
    <w:rPr>
      <w:rFonts w:eastAsia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D6EC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6ECA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0D6E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6ECA"/>
    <w:rPr>
      <w:rFonts w:ascii="Times New Roman CYR" w:hAnsi="Times New Roman CYR" w:cs="Times New Roman CYR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71D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71D0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D71D09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59"/>
    <w:rsid w:val="00D71D09"/>
    <w:pPr>
      <w:spacing w:after="0" w:line="240" w:lineRule="auto"/>
    </w:pPr>
    <w:rPr>
      <w:rFonts w:eastAsia="Times New Roman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index.shtml" TargetMode="External"/><Relationship Id="rId13" Type="http://schemas.openxmlformats.org/officeDocument/2006/relationships/image" Target="media/image3.wmf"/><Relationship Id="rId18" Type="http://schemas.openxmlformats.org/officeDocument/2006/relationships/image" Target="media/image8.wmf"/><Relationship Id="rId26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34" Type="http://schemas.openxmlformats.org/officeDocument/2006/relationships/hyperlink" Target="http://&#1091;&#1095;&#1077;&#1073;&#1085;&#1080;&#1082;&#1080;.&#1080;&#1085;&#1092;&#1086;&#1088;&#1084;2000.&#1088;&#1092;/fit1.shtml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0" Type="http://schemas.openxmlformats.org/officeDocument/2006/relationships/image" Target="media/image10.wmf"/><Relationship Id="rId29" Type="http://schemas.openxmlformats.org/officeDocument/2006/relationships/image" Target="media/image14.pn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wmf"/><Relationship Id="rId24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32" Type="http://schemas.openxmlformats.org/officeDocument/2006/relationships/hyperlink" Target="http://&#1091;&#1095;&#1077;&#1073;&#1085;&#1080;&#1082;&#1080;.&#1080;&#1085;&#1092;&#1086;&#1088;&#1084;2000.&#1088;&#1092;/otu.shtml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hyperlink" Target="http://&#1091;&#1095;&#1077;&#1073;&#1085;&#1080;&#1082;&#1080;.&#1080;&#1085;&#1092;&#1086;&#1088;&#1084;2000.&#1088;&#1092;/index.shtml" TargetMode="External"/><Relationship Id="rId28" Type="http://schemas.openxmlformats.org/officeDocument/2006/relationships/hyperlink" Target="http://&#1091;&#1095;&#1077;&#1073;&#1085;&#1080;&#1082;&#1080;.&#1080;&#1085;&#1092;&#1086;&#1088;&#1084;2000.&#1088;&#1092;/kar.shtml" TargetMode="External"/><Relationship Id="rId36" Type="http://schemas.openxmlformats.org/officeDocument/2006/relationships/header" Target="header1.xml"/><Relationship Id="rId10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9" Type="http://schemas.openxmlformats.org/officeDocument/2006/relationships/image" Target="media/image9.wmf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12.wmf"/><Relationship Id="rId27" Type="http://schemas.openxmlformats.org/officeDocument/2006/relationships/image" Target="media/image13.png"/><Relationship Id="rId30" Type="http://schemas.openxmlformats.org/officeDocument/2006/relationships/hyperlink" Target="http://&#1091;&#1095;&#1077;&#1073;&#1085;&#1080;&#1082;&#1080;.&#1080;&#1085;&#1092;&#1086;&#1088;&#1084;2000.&#1088;&#1092;/lectr.shtml" TargetMode="External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5810</Words>
  <Characters>33120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</cp:revision>
  <dcterms:created xsi:type="dcterms:W3CDTF">2021-04-11T02:17:00Z</dcterms:created>
  <dcterms:modified xsi:type="dcterms:W3CDTF">2023-05-12T12:58:00Z</dcterms:modified>
</cp:coreProperties>
</file>