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791" w:rsidRDefault="00D377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791" w:rsidRPr="00D37791" w:rsidRDefault="00D37791" w:rsidP="00D37791">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D37791">
        <w:rPr>
          <w:rFonts w:ascii="Times New Roman CYR" w:hAnsi="Times New Roman CYR" w:cs="Times New Roman CYR"/>
          <w:b/>
          <w:sz w:val="32"/>
          <w:szCs w:val="32"/>
        </w:rPr>
        <w:t>Газовая отрасль России</w:t>
      </w:r>
    </w:p>
    <w:p w:rsidR="00D37791" w:rsidRDefault="00D37791" w:rsidP="00D3779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D37791" w:rsidRDefault="00D377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37791" w:rsidRDefault="00D3779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Анализ исторических этапов применения природного газа в России и формирование ФСЭГ</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История становления газовой отрасли в СССР и Росси</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История формирования сотрудничества в рамках ФСЭГ</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Теоритическое обоснование функционирования ФСЭГ в газовой отрасли</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Общий анализ стран ФСЭГ на мировом рынке газа</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Ценообразование в газовой отрасли</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ФСЭГ в рамках теории институционализма</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Перспективы развития ФСЭГ в сотрудничестве с Россией на мировом газовом рынке</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Глобальные перспективы газовой отрасли</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Прогнозы газовой отрасли РФ и стран-членов ФСЭГ</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Пределы и возможности ФСЭГ</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rsidP="00D37791">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br w:type="page"/>
      </w:r>
      <w:hyperlink r:id="rId7" w:history="1">
        <w:r w:rsidR="00D37791" w:rsidRPr="005D161C">
          <w:rPr>
            <w:rFonts w:ascii="Arial" w:hAnsi="Arial" w:cs="Arial"/>
            <w:b/>
            <w:color w:val="0000FF"/>
            <w:sz w:val="32"/>
            <w:szCs w:val="32"/>
            <w:u w:val="single"/>
          </w:rPr>
          <w:t>Написание на заказ курсовых, дипломов, диссертаций...</w:t>
        </w:r>
      </w:hyperlink>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Pr="00753EF9"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работа посвящена изучению факторов формирования и функционирования мировой газовой отрасли. На современном этапе сложно переоценить значимость природного газа для населения и отраслей промышленности во всем мире. Все большее количество стран делают выбор в пользу газовой отрасли в качестве двигателя своих экономик. Если ранее мировой газовый рынок формировался абстрагированными друг от друга государствами, то на современном этапе появился Форум Стран Экспортеров Газа, ФСЭГ, членом которого является и Российская Федерация.</w:t>
      </w:r>
    </w:p>
    <w:p w:rsidR="00753EF9" w:rsidRPr="00753EF9" w:rsidRDefault="00753EF9" w:rsidP="00753EF9">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753EF9">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753EF9" w:rsidRPr="00753EF9" w:rsidRDefault="00F61297" w:rsidP="00753EF9">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8" w:history="1">
        <w:r w:rsidR="00753EF9" w:rsidRPr="00753EF9">
          <w:rPr>
            <w:rFonts w:ascii="Times New Roman CYR" w:hAnsi="Times New Roman CYR" w:cs="Times New Roman CYR"/>
            <w:b/>
            <w:color w:val="FF0000"/>
            <w:sz w:val="28"/>
            <w:szCs w:val="28"/>
            <w:u w:val="single"/>
            <w:lang w:val="en-US"/>
          </w:rPr>
          <w:t>http</w:t>
        </w:r>
        <w:r w:rsidR="00753EF9" w:rsidRPr="00753EF9">
          <w:rPr>
            <w:rFonts w:ascii="Times New Roman CYR" w:hAnsi="Times New Roman CYR" w:cs="Times New Roman CYR"/>
            <w:b/>
            <w:color w:val="FF0000"/>
            <w:sz w:val="28"/>
            <w:szCs w:val="28"/>
            <w:u w:val="single"/>
          </w:rPr>
          <w:t>://учебники.информ2000.рф/</w:t>
        </w:r>
        <w:r w:rsidR="00753EF9" w:rsidRPr="00753EF9">
          <w:rPr>
            <w:rFonts w:ascii="Times New Roman CYR" w:hAnsi="Times New Roman CYR" w:cs="Times New Roman CYR"/>
            <w:b/>
            <w:color w:val="FF0000"/>
            <w:sz w:val="28"/>
            <w:szCs w:val="28"/>
            <w:u w:val="single"/>
            <w:lang w:val="en-US"/>
          </w:rPr>
          <w:t>diplom</w:t>
        </w:r>
        <w:r w:rsidR="00753EF9" w:rsidRPr="00753EF9">
          <w:rPr>
            <w:rFonts w:ascii="Times New Roman CYR" w:hAnsi="Times New Roman CYR" w:cs="Times New Roman CYR"/>
            <w:b/>
            <w:color w:val="FF0000"/>
            <w:sz w:val="28"/>
            <w:szCs w:val="28"/>
            <w:u w:val="single"/>
          </w:rPr>
          <w:t>.</w:t>
        </w:r>
        <w:r w:rsidR="00753EF9" w:rsidRPr="00753EF9">
          <w:rPr>
            <w:rFonts w:ascii="Times New Roman CYR" w:hAnsi="Times New Roman CYR" w:cs="Times New Roman CYR"/>
            <w:b/>
            <w:color w:val="FF0000"/>
            <w:sz w:val="28"/>
            <w:szCs w:val="28"/>
            <w:u w:val="single"/>
            <w:lang w:val="en-US"/>
          </w:rPr>
          <w:t>shtml</w:t>
        </w:r>
      </w:hyperlink>
    </w:p>
    <w:p w:rsidR="00753EF9" w:rsidRPr="00753EF9" w:rsidRDefault="00753E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исследовательской работы обуславливается ускоряющимися темпами роста развития газовой отрасли. Ключевые игроки на рынке газа продолжают сохранять свои лидирующие позиции, однако отмечается и тенденция появления новых государств-участников, чей газовый потенциал имеет значимые перспективы для развития мировой отрасли газа. Наблюдается тенденция появления все большего количества стран, отдающих газу роль одного из основных источников энергии. Кроме того, сравнительная безвредность газа по отношению к окружающей среде является еще одним движущим фактором развития отрасли. На этапе растущей взаимозависимости государств увеличивается и роль институтов глобального регулирования, ввиду чего международная организация ФСЭГ служит платформой для создания диалога и формирования взаимных благоприятных условий для функционирования газовой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данной работы - исследовать механизмы функционирования </w:t>
      </w:r>
      <w:r>
        <w:rPr>
          <w:rFonts w:ascii="Times New Roman CYR" w:hAnsi="Times New Roman CYR" w:cs="Times New Roman CYR"/>
          <w:sz w:val="28"/>
          <w:szCs w:val="28"/>
        </w:rPr>
        <w:lastRenderedPageBreak/>
        <w:t>мирового рынка газа и оценить перспективы сотрудничества между Россией и странами-экспортерами газа в рамках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автором поставлены следующие задачи: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историю становления газовой отрасли в Российской Федерации.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Исследовать историю формирования сотрудничества в рамках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региональные рынки стран-членов ФСЭГ в рамках мирового газового рынка.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Изучить систему ценообразования в газовой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Рассмотреть ФСЭГ в рамках теории институционализма.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Оценить глобальные перспективы газовой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Дать прогноз газовой отрасли в Российской Федерации и в странах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Определить пределы функционирования ФСЭГ, как международной организации, и дать оценку его возможностям.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мировой газовый рынок.</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сотрудничество между Российской Федерацией и странами-экспортерами газа в рамках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исследования автор преимущественно опирался на статистические аналитические зарубежные материалы. В частности, в теоретико-методологическую основу данной работы лег Энергетический бюллетень РФ. Кроме того, базой для написания работы послужили Статистический обзор на мировую энергию “Би-Пи”, статистика “Газпром экспорт”, официальный сайт ФСЭГ, предоставляющий полный отчет о деятельности организации. Опору для написания ВКР составили труды российских авторов, в частности “Глобальные институты регулирования” под </w:t>
      </w:r>
      <w:r>
        <w:rPr>
          <w:rFonts w:ascii="Times New Roman CYR" w:hAnsi="Times New Roman CYR" w:cs="Times New Roman CYR"/>
          <w:sz w:val="28"/>
          <w:szCs w:val="28"/>
        </w:rPr>
        <w:lastRenderedPageBreak/>
        <w:t>редакцией Зуева В.Н. Также статистическими справочниками послужили Статистический центр при правительстве РФ, Центр макроэкономических исследований Сбербанка. Анализ перспектив газовой отрасли был осуществлен с помощью официальных сайтов газовых проектов, “Ямал СПГ”, “Сахалин - 2”, “Северный поток”.</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работы были использованы следующие методы научного исследования:</w:t>
      </w:r>
    </w:p>
    <w:p w:rsidR="002C65AC" w:rsidRPr="00D37791"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D37791">
        <w:rPr>
          <w:rFonts w:ascii="Symbol" w:hAnsi="Symbol" w:cs="Symbol"/>
          <w:sz w:val="28"/>
          <w:szCs w:val="28"/>
        </w:rPr>
        <w:tab/>
      </w:r>
      <w:r w:rsidRPr="00D37791">
        <w:rPr>
          <w:rFonts w:ascii="Times New Roman CYR" w:hAnsi="Times New Roman CYR" w:cs="Times New Roman CYR"/>
          <w:sz w:val="28"/>
          <w:szCs w:val="28"/>
        </w:rPr>
        <w:t>Анализ данных международной статистики;</w:t>
      </w:r>
    </w:p>
    <w:p w:rsidR="002C65AC" w:rsidRPr="00D37791"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D37791">
        <w:rPr>
          <w:rFonts w:ascii="Symbol" w:hAnsi="Symbol" w:cs="Symbol"/>
          <w:sz w:val="28"/>
          <w:szCs w:val="28"/>
        </w:rPr>
        <w:tab/>
      </w:r>
      <w:r w:rsidRPr="00D37791">
        <w:rPr>
          <w:rFonts w:ascii="Times New Roman CYR" w:hAnsi="Times New Roman CYR" w:cs="Times New Roman CYR"/>
          <w:sz w:val="28"/>
          <w:szCs w:val="28"/>
        </w:rPr>
        <w:t>Сравнительный метод;</w:t>
      </w:r>
    </w:p>
    <w:p w:rsidR="002C65AC" w:rsidRPr="00D37791"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lang w:val="en-US"/>
        </w:rPr>
        <w:t></w:t>
      </w:r>
      <w:r w:rsidRPr="00D37791">
        <w:rPr>
          <w:rFonts w:ascii="Symbol" w:hAnsi="Symbol" w:cs="Symbol"/>
          <w:sz w:val="28"/>
          <w:szCs w:val="28"/>
        </w:rPr>
        <w:tab/>
      </w:r>
      <w:r w:rsidRPr="00D37791">
        <w:rPr>
          <w:rFonts w:ascii="Times New Roman CYR" w:hAnsi="Times New Roman CYR" w:cs="Times New Roman CYR"/>
          <w:sz w:val="28"/>
          <w:szCs w:val="28"/>
        </w:rPr>
        <w:t>Анализ публикаций и статей;</w:t>
      </w:r>
    </w:p>
    <w:p w:rsidR="002C65AC" w:rsidRPr="00D37791"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Symbol" w:hAnsi="Symbol" w:cs="Symbol"/>
          <w:sz w:val="28"/>
          <w:szCs w:val="28"/>
          <w:lang w:val="en-US"/>
        </w:rPr>
        <w:t></w:t>
      </w:r>
      <w:r w:rsidRPr="00D37791">
        <w:rPr>
          <w:rFonts w:ascii="Symbol" w:hAnsi="Symbol" w:cs="Symbol"/>
          <w:sz w:val="28"/>
          <w:szCs w:val="28"/>
        </w:rPr>
        <w:tab/>
      </w:r>
      <w:r w:rsidRPr="00D37791">
        <w:rPr>
          <w:rFonts w:ascii="Times New Roman CYR" w:hAnsi="Times New Roman CYR" w:cs="Times New Roman CYR"/>
          <w:sz w:val="28"/>
          <w:szCs w:val="28"/>
        </w:rPr>
        <w:t>Синтез и индукция.</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трех глав, заключения и списка использованных источников и литературы.</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Анализ исторических этапов применения природного газа в России и формирование ФСЭГ</w:t>
      </w:r>
    </w:p>
    <w:p w:rsidR="002C65AC" w:rsidRDefault="002C65AC">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left="709"/>
        <w:jc w:val="both"/>
        <w:rPr>
          <w:rFonts w:ascii="Times New Roman CYR" w:hAnsi="Times New Roman CYR" w:cs="Times New Roman CYR"/>
          <w:sz w:val="28"/>
          <w:szCs w:val="28"/>
        </w:rPr>
      </w:pPr>
      <w:r>
        <w:rPr>
          <w:rFonts w:ascii="Times New Roman CYR" w:hAnsi="Times New Roman CYR" w:cs="Times New Roman CYR"/>
          <w:sz w:val="28"/>
          <w:szCs w:val="28"/>
        </w:rPr>
        <w:t>.1 История освоения природного газа в СССР и России</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об открытии самых первых месторождений газа, стоит отметить, что в 1839 году в Астрахани первый раз была обнаружена скважина горючего газа. Это открытие, как и большинство следующих открытий газа, носило случайный характер. Аналогичным образом, в Саратове в 1906 году, обнаружили месторождение газа, ныне оно известно как Мельниковское.</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sz w:val="28"/>
          <w:szCs w:val="28"/>
        </w:rPr>
        <w:t>Развитию газовой отрасли препятствовали два следующих фактора: 1) недооценка природного газа 2) хорошо развитая нефтяная отрасль. Впервые в промышленных масштабах природный газ был использован в 1859 году в Баку</w:t>
      </w:r>
      <w:proofErr w:type="gramStart"/>
      <w:r>
        <w:rPr>
          <w:rFonts w:ascii="Times New Roman CYR" w:hAnsi="Times New Roman CYR" w:cs="Times New Roman CYR"/>
          <w:sz w:val="28"/>
          <w:szCs w:val="28"/>
        </w:rPr>
        <w:t>.</w:t>
      </w:r>
      <w:proofErr w:type="gramEnd"/>
      <w:r>
        <w:rPr>
          <w:rFonts w:ascii="Times New Roman CYR" w:hAnsi="Times New Roman CYR" w:cs="Times New Roman CYR"/>
          <w:color w:val="FFFFFF"/>
          <w:sz w:val="28"/>
          <w:szCs w:val="28"/>
        </w:rPr>
        <w:t xml:space="preserve"> </w:t>
      </w:r>
      <w:proofErr w:type="gramStart"/>
      <w:r>
        <w:rPr>
          <w:rFonts w:ascii="Times New Roman CYR" w:hAnsi="Times New Roman CYR" w:cs="Times New Roman CYR"/>
          <w:color w:val="FFFFFF"/>
          <w:sz w:val="28"/>
          <w:szCs w:val="28"/>
        </w:rPr>
        <w:t>г</w:t>
      </w:r>
      <w:proofErr w:type="gramEnd"/>
      <w:r>
        <w:rPr>
          <w:rFonts w:ascii="Times New Roman CYR" w:hAnsi="Times New Roman CYR" w:cs="Times New Roman CYR"/>
          <w:color w:val="FFFFFF"/>
          <w:sz w:val="28"/>
          <w:szCs w:val="28"/>
        </w:rPr>
        <w:t>азовый рынок мировой ценообразование</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 веке природный газ продолжил историю своего развития: в период 1930-1935 годо</w:t>
      </w:r>
      <w:proofErr w:type="gramStart"/>
      <w:r>
        <w:rPr>
          <w:rFonts w:ascii="Times New Roman CYR" w:hAnsi="Times New Roman CYR" w:cs="Times New Roman CYR"/>
          <w:sz w:val="28"/>
          <w:szCs w:val="28"/>
        </w:rPr>
        <w:t>в в СССР</w:t>
      </w:r>
      <w:proofErr w:type="gramEnd"/>
      <w:r>
        <w:rPr>
          <w:rFonts w:ascii="Times New Roman CYR" w:hAnsi="Times New Roman CYR" w:cs="Times New Roman CYR"/>
          <w:sz w:val="28"/>
          <w:szCs w:val="28"/>
        </w:rPr>
        <w:t xml:space="preserve"> было разведано 25 месторождений природного газа, его добыча газа составляла порядка 0,46 млрд. куб. м.</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Перед Второй Мировой Войной, газовая промышленность была разделена на Главуглегаз и Главнефтегаз, в связи с утратой интереса к данной отрасли ввиду грядущей боевых действий.</w:t>
      </w:r>
      <w:proofErr w:type="gramEnd"/>
      <w:r>
        <w:rPr>
          <w:rFonts w:ascii="Times New Roman CYR" w:hAnsi="Times New Roman CYR" w:cs="Times New Roman CYR"/>
          <w:sz w:val="28"/>
          <w:szCs w:val="28"/>
        </w:rPr>
        <w:t xml:space="preserve"> Однако поиск новых газовых месторождений не был завершен, в 1943 году газовой промышленности была возвращена самостоятельность.</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последующие 5 лет, наблюдался заметный рост добычи природного газа. А также началось строительство первого газопровода “Саратов - Москва”.</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середине двадцатого века советское пра</w:t>
      </w:r>
      <w:r>
        <w:rPr>
          <w:rFonts w:ascii="Times New Roman CYR" w:hAnsi="Times New Roman CYR" w:cs="Times New Roman CYR"/>
          <w:sz w:val="28"/>
          <w:szCs w:val="28"/>
        </w:rPr>
        <w:softHyphen/>
        <w:t xml:space="preserve">вительство, решившее занять лидирующее положение по газификации регионов (СССР по всем показателям отставал от США), вновь занялось развитие газовой отрасли промышленности. </w:t>
      </w:r>
      <w:r>
        <w:rPr>
          <w:rFonts w:ascii="Times New Roman CYR" w:hAnsi="Times New Roman CYR" w:cs="Times New Roman CYR"/>
          <w:sz w:val="28"/>
          <w:szCs w:val="28"/>
        </w:rPr>
        <w:lastRenderedPageBreak/>
        <w:t>Так, 50-е годы были охарактеризованы гонкой СССР за США по развитию газовой отрасли. Именно этим было обусловлено строительство газопровода “Ставрополь - Москва”,</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 xml:space="preserve"> первая часть </w:t>
      </w:r>
      <w:proofErr w:type="gramStart"/>
      <w:r>
        <w:rPr>
          <w:rFonts w:ascii="Times New Roman CYR" w:hAnsi="Times New Roman CYR" w:cs="Times New Roman CYR"/>
          <w:sz w:val="28"/>
          <w:szCs w:val="28"/>
        </w:rPr>
        <w:t>работ</w:t>
      </w:r>
      <w:proofErr w:type="gramEnd"/>
      <w:r>
        <w:rPr>
          <w:rFonts w:ascii="Times New Roman CYR" w:hAnsi="Times New Roman CYR" w:cs="Times New Roman CYR"/>
          <w:sz w:val="28"/>
          <w:szCs w:val="28"/>
        </w:rPr>
        <w:t xml:space="preserve"> на котором была завершена к 1956 году. В 1960 году объем добычи природного газа составлял 110 млрд. куб. м. </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Первые шаги по развитию экспорта природного газа были предприняты в 1960 году совместно с заключением соглашения по торговле нефтью и природным газом Н.С. Хрущевым и Энрико Маттеи, президентом нефтегазовой компании </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lang w:val="en-US"/>
        </w:rPr>
        <w:t>NI</w:t>
      </w:r>
      <w:r>
        <w:rPr>
          <w:rFonts w:ascii="Times New Roman CYR" w:hAnsi="Times New Roman CYR" w:cs="Times New Roman CYR"/>
          <w:sz w:val="28"/>
          <w:szCs w:val="28"/>
        </w:rPr>
        <w:t xml:space="preserve"> в Италии. Однако СССР встретили существенные проблемы в лице США, это было связано со сложностями сопряженными с транспортировкой газа. Поскольку советские трубы у европейских партнеров доверия не вызывали, Советский Союз заключил соглашение о поставке труб большого диаметра с ФРГ, однако в 1963 году это соглашение было заблокировано США. Ситуация разрешилась через 7 лет, в 1970 году было заключено новое соглашение о поставке труб большого диаметра а также о закупке советского газа немецкой </w:t>
      </w:r>
      <w:proofErr w:type="gramStart"/>
      <w:r>
        <w:rPr>
          <w:rFonts w:ascii="Times New Roman CYR" w:hAnsi="Times New Roman CYR" w:cs="Times New Roman CYR"/>
          <w:sz w:val="28"/>
          <w:szCs w:val="28"/>
        </w:rPr>
        <w:t>компанией-дистрибьютора</w:t>
      </w:r>
      <w:proofErr w:type="gramEnd"/>
      <w:r>
        <w:rPr>
          <w:rFonts w:ascii="Times New Roman CYR" w:hAnsi="Times New Roman CYR" w:cs="Times New Roman CYR"/>
          <w:sz w:val="28"/>
          <w:szCs w:val="28"/>
        </w:rPr>
        <w:t xml:space="preserve"> природного газа </w:t>
      </w:r>
      <w:r>
        <w:rPr>
          <w:rFonts w:ascii="Times New Roman CYR" w:hAnsi="Times New Roman CYR" w:cs="Times New Roman CYR"/>
          <w:sz w:val="28"/>
          <w:szCs w:val="28"/>
          <w:lang w:val="en-US"/>
        </w:rPr>
        <w:t>Ruhrgas</w:t>
      </w:r>
      <w:r>
        <w:rPr>
          <w:rFonts w:ascii="Times New Roman CYR" w:hAnsi="Times New Roman CYR" w:cs="Times New Roman CYR"/>
          <w:sz w:val="28"/>
          <w:szCs w:val="28"/>
        </w:rPr>
        <w:t>, оно было подписано Л.И. Брежневым и канцлером ФРГ В. Брандтом. Через 3 года после этих событий, осень 1973 года, первый советский газ был поставлен в Европу.</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значительный прорыв в газовой промышленности, останавливаться на этом никто не собирался. Ввиду этого, прибыль от экспорта была направлена на массовые закупки лучшего оборудования, с целью дальнейшего развития промышленности. С ростом технологических возможностей появилась и, более того, в дальнейшем успешно разрабатывалась идея Единой Системы Газоснабжения (ЕСГ). Было проложено порядка 100 тыс. км трубопроводов. Это поспособствовало росту производительности промышленных предприятий. В тоже время были обнаружены новые, до этого не разведанные, залежи газа в Западной Сибири, а добыча к тому времени </w:t>
      </w:r>
      <w:r>
        <w:rPr>
          <w:rFonts w:ascii="Times New Roman CYR" w:hAnsi="Times New Roman CYR" w:cs="Times New Roman CYR"/>
          <w:sz w:val="28"/>
          <w:szCs w:val="28"/>
        </w:rPr>
        <w:lastRenderedPageBreak/>
        <w:t>составляла 221 млрд. куб. м.</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В начале 80-х годов Единая Система Газоснабжения обеспечивала СССР уже 40% топлива. Зависимость потребителей газа стала неуклонно увеличиваться, совместно с ростом зависимости в отдельно взятых отраслях и регионах. С ростом такой зависимости росла и сложность режимов работы, а это уже в свою очередь повышало необходимость сохранения газоснабжения и повышало роль тщательного его контроля. Именно поэтому было принято решение: ускорить развитие газовых хранилищ, находящихся под землей, объем </w:t>
      </w:r>
      <w:proofErr w:type="gramStart"/>
      <w:r>
        <w:rPr>
          <w:rFonts w:ascii="Times New Roman CYR" w:hAnsi="Times New Roman CYR" w:cs="Times New Roman CYR"/>
          <w:sz w:val="28"/>
          <w:szCs w:val="28"/>
        </w:rPr>
        <w:t>хранения</w:t>
      </w:r>
      <w:proofErr w:type="gramEnd"/>
      <w:r>
        <w:rPr>
          <w:rFonts w:ascii="Times New Roman CYR" w:hAnsi="Times New Roman CYR" w:cs="Times New Roman CYR"/>
          <w:sz w:val="28"/>
          <w:szCs w:val="28"/>
        </w:rPr>
        <w:t xml:space="preserve"> которых к 80-ым годам уже составлял до 10,6% годового потребления. </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1985-1990 годов в газовую промышленность пришел экономический кризис, что выражалось в недостатке инвестиций и нестабильности спроса. Однако к этому времени газовая отрасль была уже достаточно сильна и смогла спокойно продолжить процесс процветания.</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этот же период, а именно в 1989 году происходит очередное знаковое событие в развитии отрасли газа в России: существующий газовый институт регулирования (Министерство газовой промышленности) реформируется в государственный газовый концерн “Газпром”. Спустя почти 20 лет работы над ЕСГ, к 1990 году система находилась уже на стадии завершения, а объем ее транспортировки составлял порядка 600 млрд. куб.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что делало ее одной из самых крупнейших систем газоснабжения в мире.</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с 1990-1993 - газовая отрасль переживала самый серьезный кризис, со времен своего появления в СССР. </w:t>
      </w:r>
      <w:proofErr w:type="gramStart"/>
      <w:r>
        <w:rPr>
          <w:rFonts w:ascii="Times New Roman CYR" w:hAnsi="Times New Roman CYR" w:cs="Times New Roman CYR"/>
          <w:sz w:val="28"/>
          <w:szCs w:val="28"/>
        </w:rPr>
        <w:t xml:space="preserve">Эту нестабильность характеризовало множество факторов, однако в качестве основных выделяют следующие, а именно - 1) полное прекращение централизованных инвестиций, которые составляли основу финансирования отрасли, 2) обесценивание накопленных внутри отрасли средств, вызванное высокой инфляцией, 3) прекращение сотрудничества с поставщиками (страны СНГ) оборудования. 1991 </w:t>
      </w:r>
      <w:r>
        <w:rPr>
          <w:rFonts w:ascii="Times New Roman CYR" w:hAnsi="Times New Roman CYR" w:cs="Times New Roman CYR"/>
          <w:sz w:val="28"/>
          <w:szCs w:val="28"/>
        </w:rPr>
        <w:lastRenderedPageBreak/>
        <w:t>год - Социалистический Союз Советских Республик распался, однако это не означало, что газовую отрасль ждала та же участь.</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Это</w:t>
      </w:r>
      <w:proofErr w:type="gramEnd"/>
      <w:r>
        <w:rPr>
          <w:rFonts w:ascii="Times New Roman CYR" w:hAnsi="Times New Roman CYR" w:cs="Times New Roman CYR"/>
          <w:sz w:val="28"/>
          <w:szCs w:val="28"/>
        </w:rPr>
        <w:t xml:space="preserve"> скорее всего связано с тем, что газовая отрасль, в отличие от различных советских предприятий, принадлежала государству. В 1993 году указом президента Российской Федерации Б. Н. Ельцина стабилизацией газовой отрасли было поручено заняться В.С. Черномырдину, который получил должность Вице-премьера, курирующего топливно-энергетический комплекс, а газовый концерн «Газпром» был преобразован в акционерное общество. </w:t>
      </w:r>
    </w:p>
    <w:p w:rsidR="002C65AC" w:rsidRDefault="008F40F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инвестиционные вложения (приблизительно 11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руб в год), направленные в газовую отрасль, демонстрировали тот факт, что для государства построение эффективной системы газоснабжения являлось одной из первостепенных задач. Кроме того, нельзя </w:t>
      </w:r>
      <w:proofErr w:type="gramStart"/>
      <w:r>
        <w:rPr>
          <w:rFonts w:ascii="Times New Roman CYR" w:hAnsi="Times New Roman CYR" w:cs="Times New Roman CYR"/>
          <w:sz w:val="28"/>
          <w:szCs w:val="28"/>
        </w:rPr>
        <w:t>не обратить внимание</w:t>
      </w:r>
      <w:proofErr w:type="gramEnd"/>
      <w:r>
        <w:rPr>
          <w:rFonts w:ascii="Times New Roman CYR" w:hAnsi="Times New Roman CYR" w:cs="Times New Roman CYR"/>
          <w:sz w:val="28"/>
          <w:szCs w:val="28"/>
        </w:rPr>
        <w:t xml:space="preserve"> на то, что государственный контроль отрасли оказал положительное влияние на развитие газовой промышленности, ввиду периодических экономических кризисов, а также необходимости в концентрированных вложениях денежных средств.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двадцатого века на территории Европы начал функционировать газопровод Ямал-Европа на некоторых участках, а также в это время было заключено соглашение о поставках газа из России в Турцию.</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двадцать первого века было ознаменовано формированием Российское газового общества, а также согласованием программы «Энергетическая стратегия России на период до 2020 года».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середине первого десятилетия нового века, в 2005 году, Газпром начал поставлять сжиженный природный газ за пределы России, подписал договор о создании «Северного потока», магистральный газопровод между Россией и Германией, проложенный по дну Балтийского моря, а после был принят в «Сахалин-2», нефтегазовый проект, базирующийся на о. Сахалин при условиях раздела продукции.</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2007 году международное газовое сотрудничество России расширилось путем соглашений с газовым итальянским концерном (Меморандум о взаимопонимании), с Казахстаном и Туркменией («О сотрудничестве и строительстве Прикаспийского газопровода»).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года газовая кооперация была согласована и с Китайской Народной Республикой (Меморандум о взаимопонимании), в рамках чего «Газпром» приступил к работам по добыче газа на Вьетнамском шельфе при условиях раздела продукции.</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История формирования сотрудничества в рамках ФСЭГ</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Форум Стран Экспортеров Газа состоит из 12 стран участниц: </w:t>
      </w:r>
      <w:proofErr w:type="gramStart"/>
      <w:r>
        <w:rPr>
          <w:rFonts w:ascii="Times New Roman CYR" w:hAnsi="Times New Roman CYR" w:cs="Times New Roman CYR"/>
          <w:sz w:val="28"/>
          <w:szCs w:val="28"/>
        </w:rPr>
        <w:t>Алжир, Боливия, Венесуэла, Египет, Иран, Катар, Ливия, Нигерия, Российская Федерация, Тринидад и Тобаго, Экваториальная Гвинея и Объединенные Арабские Эмираты, а также страны наблюдатели:</w:t>
      </w:r>
      <w:proofErr w:type="gramEnd"/>
      <w:r>
        <w:rPr>
          <w:rFonts w:ascii="Times New Roman CYR" w:hAnsi="Times New Roman CYR" w:cs="Times New Roman CYR"/>
          <w:sz w:val="28"/>
          <w:szCs w:val="28"/>
        </w:rPr>
        <w:t xml:space="preserve"> Азербайджан, Оман, Перу, Нидерланды, Ирак, Норвегия и Казахстан. </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Страны участницы форума являются владельцами 67% мировых запасов газа. При этом слово “Форум” в названии организации осталось с момента ее основания, чтобы подчеркнуть ее </w:t>
      </w:r>
      <w:proofErr w:type="gramStart"/>
      <w:r>
        <w:rPr>
          <w:rFonts w:ascii="Times New Roman CYR" w:hAnsi="Times New Roman CYR" w:cs="Times New Roman CYR"/>
          <w:sz w:val="28"/>
          <w:szCs w:val="28"/>
        </w:rPr>
        <w:t>демократический и открытый характер</w:t>
      </w:r>
      <w:proofErr w:type="gramEnd"/>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Начало Форума Стран Экспортеров Газа было положено 19 Мая 2001 года с первой встречей министров стран участниц форума в Тегеране по инициативе министра нефти Ирана. </w:t>
      </w:r>
      <w:proofErr w:type="gramStart"/>
      <w:r>
        <w:rPr>
          <w:rFonts w:ascii="Times New Roman CYR" w:hAnsi="Times New Roman CYR" w:cs="Times New Roman CYR"/>
          <w:sz w:val="28"/>
          <w:szCs w:val="28"/>
        </w:rPr>
        <w:t>Встречу посетили представители государств Алжира, Бруней, Индонезии, Ирана, Малайзии, Оман, Катар, Российской Федерации, Туркменистана и Норвегии.</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первой встречи была признана актуальность создания форума, преследуя следующие цели: создание единой базы для исследования и обмена опытом, развитие взаимопонимания, развитие взаимопонимания путем </w:t>
      </w:r>
      <w:r>
        <w:rPr>
          <w:rFonts w:ascii="Times New Roman CYR" w:hAnsi="Times New Roman CYR" w:cs="Times New Roman CYR"/>
          <w:sz w:val="28"/>
          <w:szCs w:val="28"/>
        </w:rPr>
        <w:lastRenderedPageBreak/>
        <w:t xml:space="preserve">одобрение диалога между производителями и потребителями, между государствами и связанными с энергетическими отраслями промышленностями, создание устойчивого и прозрачного рынка энергии. Это были одними из основных позиций документа, который принял статус </w:t>
      </w:r>
      <w:proofErr w:type="gramStart"/>
      <w:r>
        <w:rPr>
          <w:rFonts w:ascii="Times New Roman CYR" w:hAnsi="Times New Roman CYR" w:cs="Times New Roman CYR"/>
          <w:sz w:val="28"/>
          <w:szCs w:val="28"/>
        </w:rPr>
        <w:t>мандата Форума Стран Экспортеров Газа</w:t>
      </w:r>
      <w:proofErr w:type="gramEnd"/>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ключевую роль играли встречи министров в качестве высшей инстанции принятия решений, а встречи экспертов в качестве консультанта технического рода по принятию решений (технического консультанта). В дальнейшем было утверждено, что встречи министров будут проводиться каждый год для принятия важных решений.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2002 году на одной из таких встреч были поставлены основные цели, а именно - обеспечить развитие газовой промышленности, удовлетворение всех требований мирового рынка в наилучших возможных условиях, при </w:t>
      </w:r>
      <w:proofErr w:type="gramStart"/>
      <w:r>
        <w:rPr>
          <w:rFonts w:ascii="Times New Roman CYR" w:hAnsi="Times New Roman CYR" w:cs="Times New Roman CYR"/>
          <w:sz w:val="28"/>
          <w:szCs w:val="28"/>
        </w:rPr>
        <w:t>этом</w:t>
      </w:r>
      <w:proofErr w:type="gramEnd"/>
      <w:r>
        <w:rPr>
          <w:rFonts w:ascii="Times New Roman CYR" w:hAnsi="Times New Roman CYR" w:cs="Times New Roman CYR"/>
          <w:sz w:val="28"/>
          <w:szCs w:val="28"/>
        </w:rPr>
        <w:t xml:space="preserve"> не неся в себе вред интересам других сторон. В контексте поставленных задач, в качестве основного регулятора их достижения в очередной раз выделялись необходимость и значимость диалога и сотрудничества между производителями и потребителями газа. В том числе, экспертному механизму было поручено подготовить базу данных, которая содержала бы в себе все, что касается газовых проектов, условий </w:t>
      </w:r>
      <w:proofErr w:type="gramStart"/>
      <w:r>
        <w:rPr>
          <w:rFonts w:ascii="Times New Roman CYR" w:hAnsi="Times New Roman CYR" w:cs="Times New Roman CYR"/>
          <w:sz w:val="28"/>
          <w:szCs w:val="28"/>
        </w:rPr>
        <w:t>контрактов</w:t>
      </w:r>
      <w:proofErr w:type="gramEnd"/>
      <w:r>
        <w:rPr>
          <w:rFonts w:ascii="Times New Roman CYR" w:hAnsi="Times New Roman CYR" w:cs="Times New Roman CYR"/>
          <w:sz w:val="28"/>
          <w:szCs w:val="28"/>
        </w:rPr>
        <w:t xml:space="preserve"> а так же исследований, связанных с утилизацией газа и связанных с этим расходами.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2003 году, в ходе очередной встречи министров в Катаре было принято решение по созданию бюро связи в качестве координационного центра для наблюдения и сбора данных по проектам ФСЭГ. Это событие позволило отслеживать исследования по новым утилизациям газа, подчеркнуло актуальность разработки мировой модели предложения и спроса на газ, а так же ценообразования на газ.</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Двигаясь в сторону развития платформы </w:t>
      </w:r>
      <w:proofErr w:type="gramStart"/>
      <w:r>
        <w:rPr>
          <w:rFonts w:ascii="Times New Roman CYR" w:hAnsi="Times New Roman CYR" w:cs="Times New Roman CYR"/>
          <w:sz w:val="28"/>
          <w:szCs w:val="28"/>
        </w:rPr>
        <w:t>более комплексного</w:t>
      </w:r>
      <w:proofErr w:type="gramEnd"/>
      <w:r>
        <w:rPr>
          <w:rFonts w:ascii="Times New Roman CYR" w:hAnsi="Times New Roman CYR" w:cs="Times New Roman CYR"/>
          <w:sz w:val="28"/>
          <w:szCs w:val="28"/>
        </w:rPr>
        <w:t xml:space="preserve"> обсуждения, на встрече министров в Каире в 2004 году Тринидадом и Тобаго было создано исполнительное бюро, которое объединило в себе так же и Бюро связей. </w:t>
      </w:r>
      <w:proofErr w:type="gramStart"/>
      <w:r>
        <w:rPr>
          <w:rFonts w:ascii="Times New Roman CYR" w:hAnsi="Times New Roman CYR" w:cs="Times New Roman CYR"/>
          <w:sz w:val="28"/>
          <w:szCs w:val="28"/>
        </w:rPr>
        <w:t>В последствии</w:t>
      </w:r>
      <w:proofErr w:type="gramEnd"/>
      <w:r>
        <w:rPr>
          <w:rFonts w:ascii="Times New Roman CYR" w:hAnsi="Times New Roman CYR" w:cs="Times New Roman CYR"/>
          <w:sz w:val="28"/>
          <w:szCs w:val="28"/>
        </w:rPr>
        <w:t xml:space="preserve"> это бюро трансформировалось в Исполнительный совет. В том числе, министры выделили важность справедливых цен на природный газ и необходимость расширения сотрудничества путем совместных инвестиций и исследований, а так же обмена информацией и данными.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Встреча 2005 года поспособствовала согласованию общих рамок, целей и структуры ФСЭГ. Кроме того, было принято решение о старте разработки модели спроса и предложения на газ. Встречи министров в 2006 году как таковой не было, однако состоялась встреча Исполнительного Бюро в Катаре, которая была направлена на продвижение до этого поставленных задач и целей.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2007 году в Катаре анализ предыдущих встреч, в ходе которого было рекомендовано:</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устав для Форума;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расширить Бюро Связи, чтобы оно могло стать секретариатом форума;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свои внутренние правила, ознаменовал начало учреждения институциональной базы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этих рекомендаций способствовала созданию Комитета высокого уровня, который в дальнейшем способствовал проведению одной из важнейших встреч министров в Российской Федерации 2008 года. Именно 23 Декабря 2008 года Форум Стран Экспортеров Газа был учрежден юридически и получил статус международной правительственной организации. </w:t>
      </w:r>
      <w:proofErr w:type="gramStart"/>
      <w:r>
        <w:rPr>
          <w:rFonts w:ascii="Times New Roman CYR" w:hAnsi="Times New Roman CYR" w:cs="Times New Roman CYR"/>
          <w:sz w:val="28"/>
          <w:szCs w:val="28"/>
        </w:rPr>
        <w:t xml:space="preserve">А в качестве штаб-квартиры ФСЭГ был выбран город Доха, Катар. 8-ую по счету встречу в 2009 году в Катаре характеризует принятие бюджета, на ряду с назначением временных органов управления - назначение Леонида Бохановский в качестве Генерального секретаря ФСЭГ, назначение представителей Алжира и Венесуэлы </w:t>
      </w:r>
      <w:r>
        <w:rPr>
          <w:rFonts w:ascii="Times New Roman CYR" w:hAnsi="Times New Roman CYR" w:cs="Times New Roman CYR"/>
          <w:sz w:val="28"/>
          <w:szCs w:val="28"/>
        </w:rPr>
        <w:lastRenderedPageBreak/>
        <w:t>соответственно в качестве президента и заместителя президента саммита министров на 2010 год, назначение представителей Алжира и Венесуэлы соответственно</w:t>
      </w:r>
      <w:proofErr w:type="gramEnd"/>
      <w:r>
        <w:rPr>
          <w:rFonts w:ascii="Times New Roman CYR" w:hAnsi="Times New Roman CYR" w:cs="Times New Roman CYR"/>
          <w:sz w:val="28"/>
          <w:szCs w:val="28"/>
        </w:rPr>
        <w:t xml:space="preserve"> в качестве председателя и заместителя председателя Исполнительного Совета.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можно назвать довольно важным шагом ФСЭГ в укреплении его как </w:t>
      </w:r>
      <w:proofErr w:type="gramStart"/>
      <w:r>
        <w:rPr>
          <w:rFonts w:ascii="Times New Roman CYR" w:hAnsi="Times New Roman CYR" w:cs="Times New Roman CYR"/>
          <w:sz w:val="28"/>
          <w:szCs w:val="28"/>
        </w:rPr>
        <w:t>внутренней</w:t>
      </w:r>
      <w:proofErr w:type="gramEnd"/>
      <w:r>
        <w:rPr>
          <w:rFonts w:ascii="Times New Roman CYR" w:hAnsi="Times New Roman CYR" w:cs="Times New Roman CYR"/>
          <w:sz w:val="28"/>
          <w:szCs w:val="28"/>
        </w:rPr>
        <w:t xml:space="preserve"> так и внешней структуры.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потому что Генеральный секретарь ФСЭГ ставил своей главной задачей - 1) начать деятельность Секретариата 2) разработать платформу для стран-членов ФСЭГ с целью развития исследовательского и аналитического потенциала организации путем обмена информацией и начала собственной исследовательской деятельности, что имело прямое воздействие на внутреннюю структуру.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во-вторых, именно встреча между Генеральным секретарем ФСЭГ и Генеральным секретарем ООН и регистрация Форума в Организации Объединенных Наций сыграли важнейшую роль на пути международного признания, способствуя более тесному диалогу между организациями.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Среднесрочные изменения на рынке природного газа и их влияния на страны-члены ФСЭГ стали темами двух министерских встреч в Алжире и Катаре, в апреле и декабре 2010 года соответственно. В </w:t>
      </w:r>
      <w:proofErr w:type="gramStart"/>
      <w:r>
        <w:rPr>
          <w:rFonts w:ascii="Times New Roman CYR" w:hAnsi="Times New Roman CYR" w:cs="Times New Roman CYR"/>
          <w:sz w:val="28"/>
          <w:szCs w:val="28"/>
        </w:rPr>
        <w:t>ходе</w:t>
      </w:r>
      <w:proofErr w:type="gramEnd"/>
      <w:r>
        <w:rPr>
          <w:rFonts w:ascii="Times New Roman CYR" w:hAnsi="Times New Roman CYR" w:cs="Times New Roman CYR"/>
          <w:sz w:val="28"/>
          <w:szCs w:val="28"/>
        </w:rPr>
        <w:t xml:space="preserve"> которых была одобрена модель, в которой была ярко выражена взаимосвязь между потребителем и производителем газа. В этой модели, было возможно обоюдное участие с обеих сторон, потребитель газа мог принимать участие в проектах развития добывающих и газовых инфраструктур в странах-производителях-экспортерах газа, так же как и экспортеры газа могли инвестировать в средне - нижестоящие сети и другие газовые хозяйства на стороне потребителей. Модель была направлена на поддержание повышения безопасности через взаимные инвестиции и технологический обмен с нивелированием </w:t>
      </w:r>
      <w:proofErr w:type="gramStart"/>
      <w:r>
        <w:rPr>
          <w:rFonts w:ascii="Times New Roman CYR" w:hAnsi="Times New Roman CYR" w:cs="Times New Roman CYR"/>
          <w:sz w:val="28"/>
          <w:szCs w:val="28"/>
        </w:rPr>
        <w:t>барьеров</w:t>
      </w:r>
      <w:proofErr w:type="gramEnd"/>
      <w:r>
        <w:rPr>
          <w:rFonts w:ascii="Times New Roman CYR" w:hAnsi="Times New Roman CYR" w:cs="Times New Roman CYR"/>
          <w:sz w:val="28"/>
          <w:szCs w:val="28"/>
        </w:rPr>
        <w:t xml:space="preserve"> таких как </w:t>
      </w:r>
      <w:r>
        <w:rPr>
          <w:rFonts w:ascii="Times New Roman CYR" w:hAnsi="Times New Roman CYR" w:cs="Times New Roman CYR"/>
          <w:sz w:val="28"/>
          <w:szCs w:val="28"/>
        </w:rPr>
        <w:lastRenderedPageBreak/>
        <w:t>налогообложение углерода. Результатом встреч 2011 года стало решение о проведение встречи глав государств и правитель</w:t>
      </w:r>
      <w:proofErr w:type="gramStart"/>
      <w:r>
        <w:rPr>
          <w:rFonts w:ascii="Times New Roman CYR" w:hAnsi="Times New Roman CYR" w:cs="Times New Roman CYR"/>
          <w:sz w:val="28"/>
          <w:szCs w:val="28"/>
        </w:rPr>
        <w:t>ств стр</w:t>
      </w:r>
      <w:proofErr w:type="gramEnd"/>
      <w:r>
        <w:rPr>
          <w:rFonts w:ascii="Times New Roman CYR" w:hAnsi="Times New Roman CYR" w:cs="Times New Roman CYR"/>
          <w:sz w:val="28"/>
          <w:szCs w:val="28"/>
        </w:rPr>
        <w:t>ан-членов форума, первого саммита, а также создание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Специальной группы высокого уровня для подготовки проведения этого саммита. Знаковым событием все той же встречи министров 2011 года в Дохе, Катар, помимо решений по саммиту, стало присоединение Оман в качестве нового члена Форума, что подчеркивало укрепленные позиции Форума в международном энергетическом сообществе, а так же переизбрание Леонида Бохановского Генеральным секретарем ФСЭГ на 2012-2013 года.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Вышеупомянутый Саммит состоялся 15 декабря 2011 года и стал знаковым событием в истории организации, это было первое собрание </w:t>
      </w:r>
      <w:proofErr w:type="gramStart"/>
      <w:r>
        <w:rPr>
          <w:rFonts w:ascii="Times New Roman CYR" w:hAnsi="Times New Roman CYR" w:cs="Times New Roman CYR"/>
          <w:sz w:val="28"/>
          <w:szCs w:val="28"/>
        </w:rPr>
        <w:t>форума</w:t>
      </w:r>
      <w:proofErr w:type="gramEnd"/>
      <w:r>
        <w:rPr>
          <w:rFonts w:ascii="Times New Roman CYR" w:hAnsi="Times New Roman CYR" w:cs="Times New Roman CYR"/>
          <w:sz w:val="28"/>
          <w:szCs w:val="28"/>
        </w:rPr>
        <w:t xml:space="preserve"> проходящее на таком высоком уровне, на саммите присутствовали главы государств Алжира, Ирана, Нигерии, Экваториальной Гвинеи, Боливии, Российской Федерации и Омана. В ходе саммита, главами государств была в очередной раз, только уже на высшем уровне, подчеркнута основная идеология организации по созданию адекватного диалога между производителем и потребителем газа, путем выработки оптимальных путей способных справится с текущими и будущими вызовами региональных и глобальных рынков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Спустя почти полтора года, 1 Июля 2013 года, состоялся второй Саммит Форума Стран Экспортеров Газа, который проходил в Москве, Российская Федерация, с участием представителей стран-членов Форума, представителей стран наблюдателей - Венесуэлы, Ирака, Нидерландов и Норвегии, и в том числе МЭА, МЭФ и ОПЕК в качестве приглашенных международных организаций. Основными темами этого Саммита стали - содействие последовательному росту и расширению использования природного газа в различных секторах, поощрение диалога со всеми участниками рынка и заинтересованными сторонами, выделяя использования газа в качестве основного двигателя экологической безопасности, </w:t>
      </w:r>
      <w:r>
        <w:rPr>
          <w:rFonts w:ascii="Times New Roman CYR" w:hAnsi="Times New Roman CYR" w:cs="Times New Roman CYR"/>
          <w:sz w:val="28"/>
          <w:szCs w:val="28"/>
        </w:rPr>
        <w:lastRenderedPageBreak/>
        <w:t>экономического роста и социального развития.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Итогом этого Саммита стала «Московская Декларация», в которой странами-членами единогласно была подчеркнуты следующие пункты</w:t>
      </w:r>
      <w:proofErr w:type="gramStart"/>
      <w:r>
        <w:rPr>
          <w:rFonts w:ascii="Times New Roman CYR" w:hAnsi="Times New Roman CYR" w:cs="Times New Roman CYR"/>
          <w:sz w:val="28"/>
          <w:szCs w:val="28"/>
        </w:rPr>
        <w:t>:</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необходимость укрепления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защищая интересы форума усиление координации глобальных масштабов;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сохранение принципов международной торговли;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поддержка фундаментальной роли долгосрочных газовых контрактов;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продолжение поддержания газового ценообразования на основе индексации нефти и нефтепродуктов.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Ноябре 2013 года, на очередной встрече министров Мохаммад Бен Салеха Аль-Сады сменил Леонида Бохановский на пост Генерального секретаря ФСЭГ на срок 2 года согласно уставу форума, в 2014 году приступив к выполнению новых инициатив, направленных на преобразование ФСЭГ в надежную международную платформу для газа и содействия диалога ключевым заинтересованным сторонам на глобальном рынке.</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Ноября 2015 года состоялся третий по счету Саммит ФСЭГ в Тегеране, который был посвящен обсуждению сформировавшихся проблем, оказывающих ощутимое влияние на глобальный рынок газа. В первую очередь, речь зашла о санкционной политике против газодобывающих компаний. Форум высказал несогласие с проведением данной политики и осудил использование законов дискриминирующего характера некоторыми государствами за пределами территорий, которые принимают такие законы.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этого, подчеркивалось, что газовый рынок стоит на пороге глобальных изменений. Генеральный секретарь ФСЭГ Моххамад Хоссейн Адели обусловил это заявление несколькими факторами. Первый был связан с тем, что сразу после экономического кризиса 2007-2008 годов нефтяной кризис стал </w:t>
      </w:r>
      <w:r>
        <w:rPr>
          <w:rFonts w:ascii="Times New Roman CYR" w:hAnsi="Times New Roman CYR" w:cs="Times New Roman CYR"/>
          <w:sz w:val="28"/>
          <w:szCs w:val="28"/>
        </w:rPr>
        <w:lastRenderedPageBreak/>
        <w:t>следующей проблемой. Ввиду чего большинство потребителей энергии старались оптимизировать использование энергии, что в свою очередь вызвало снижение спроса на нефть и газ, что вызывает серьезный переизбыток газа на рынке. Второй же фактор был обусловлен предстоящим выходом на рынок большого количества производителей СПГ, основная концентрация которого находилась в Австралии и США.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Сжиженный газ ввиду своей мобильности является одним из главных конкурентов природного газа и долгосрочных контрактов, предпочтение которым отдает ФСЭГ. Основным преимуществом СПГ является возможность спотовых продаж и возможность реэкспорта СПГ. </w:t>
      </w:r>
      <w:proofErr w:type="gramStart"/>
      <w:r>
        <w:rPr>
          <w:rFonts w:ascii="Times New Roman CYR" w:hAnsi="Times New Roman CYR" w:cs="Times New Roman CYR"/>
          <w:sz w:val="28"/>
          <w:szCs w:val="28"/>
        </w:rPr>
        <w:t>Последним фактором, приближающим рынок газа к глобальным изменением, называют геополитические изменения, а именно сложности между ЕС, Россией и Украиной, которые не оставили Европе выбора, кроме как менять свою газовую политику, поворачиваясь в сторону диверсификации газового импорта, с цель избавиться от тотальной зависимости в поставках из Российской Федерации, однако такие изменения требуют большого капиталовложения как и времени, что говорит о том</w:t>
      </w:r>
      <w:proofErr w:type="gramEnd"/>
      <w:r>
        <w:rPr>
          <w:rFonts w:ascii="Times New Roman CYR" w:hAnsi="Times New Roman CYR" w:cs="Times New Roman CYR"/>
          <w:sz w:val="28"/>
          <w:szCs w:val="28"/>
        </w:rPr>
        <w:t>, что альтернатив у ЕС немного.</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подчеркивалось ранее, свое отношение к санкциям против Российской Федерации Форум Стран Экспортеров Газа показал на третьем Саммите в Тегеране. ФСЭГ осудил действия Соединенных Штатов Америки летом 2015 года, когда были введены секторальные санкции в отношении Южно-Киринского газового месторождения на шельфе Охотского моря к востоку от Сахалина, это было обусловлено тем, что Белый Дом узнал о значительных запасах нефти в этих залежах.</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Теоритическое обоснование функционирования ФСЭГ в газовой отрасли</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Общий анализ стран ФСЭГ на мировом рынке газа</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природного газа, которым располагает в целом планета Земля на данный момент подсчитать невозможно, ввиду того, что большинство из залежей природного газа еще не разведена. Эти запасы находятся очень глубоко в земной коре.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1 представлены данные </w:t>
      </w:r>
      <w:proofErr w:type="gramStart"/>
      <w:r>
        <w:rPr>
          <w:rFonts w:ascii="Times New Roman CYR" w:hAnsi="Times New Roman CYR" w:cs="Times New Roman CYR"/>
          <w:sz w:val="28"/>
          <w:szCs w:val="28"/>
        </w:rPr>
        <w:t>по общим мировым разведанным запасам природного газа по странам с указанием показателей по количеству природного газа в государстве</w:t>
      </w:r>
      <w:proofErr w:type="gramEnd"/>
      <w:r>
        <w:rPr>
          <w:rFonts w:ascii="Times New Roman CYR" w:hAnsi="Times New Roman CYR" w:cs="Times New Roman CYR"/>
          <w:sz w:val="28"/>
          <w:szCs w:val="28"/>
        </w:rPr>
        <w:t xml:space="preserve"> на 1996 год и на 2016 год.</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Общие мировые доказанные запасы природного газа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2"/>
        <w:gridCol w:w="2051"/>
        <w:gridCol w:w="2052"/>
        <w:gridCol w:w="2051"/>
      </w:tblGrid>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на 1996 г. в триллионах куб. м.</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на 2016 г. в триллионах куб. м.</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на 2016 г. в доле</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от общего объема</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Туркменистан</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Китай</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Норвегия</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ОАЭ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Иран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Катар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Египет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Алжир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Ливия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Оман </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Нигерия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Венесуэла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Боливия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Тринидад и Тобаго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2C65AC">
        <w:tc>
          <w:tcPr>
            <w:tcW w:w="287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РФ (член ФСЭГ)</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31,1</w:t>
            </w:r>
          </w:p>
        </w:tc>
        <w:tc>
          <w:tcPr>
            <w:tcW w:w="205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2051"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r>
    </w:tbl>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таблице представлены показатели, демонстрирующие тот факт, что страны-члены ФСЭГ обладают на современном этапе наибольшими зафиксированными запасами природного газа в мире. Несмотря на то, что на 2016 год процентная доля имеющегося газа в таких странах, как США, </w:t>
      </w:r>
      <w:r>
        <w:rPr>
          <w:rFonts w:ascii="Times New Roman CYR" w:hAnsi="Times New Roman CYR" w:cs="Times New Roman CYR"/>
          <w:sz w:val="28"/>
          <w:szCs w:val="28"/>
        </w:rPr>
        <w:lastRenderedPageBreak/>
        <w:t>Туркменистан, Объединенные Арабские Эмираты сформирована значимыми показателями, лидерами остаются Российская Федерация (17,3%), Иран (18,2%), Катар (13,1%). Кроме того, за анализируемое десятилетие общий объем разведанного природного газа увеличился во всех странах, представленных в таблице, кроме стран-членов Европейского Союза.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графике 1 представлена информация о распределении имеющихся запасов природного газа по регионам мира.</w:t>
      </w:r>
    </w:p>
    <w:p w:rsidR="002C65AC" w:rsidRDefault="002C65AC">
      <w:pPr>
        <w:widowControl w:val="0"/>
        <w:autoSpaceDE w:val="0"/>
        <w:autoSpaceDN w:val="0"/>
        <w:adjustRightInd w:val="0"/>
        <w:spacing w:after="0" w:line="360" w:lineRule="auto"/>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54700" cy="2813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00" cy="281305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1. Распределение общих мировых доказанных запасов природного газа по регионам</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основная часть запасов (42,8%) приходится на Средний Восток, к странам которого относятся Иран, Катар, Оман (все члены ФСЭГ) и Объединенные Арабские Эмираты. Приблизительно треть общемировых запасов находится в регионе Евразии и Европы, но стоит понимать, что этот показатель значителен в основном только из-за разведанных запасов природного газа в Российской Федерации (57% от общей доли региона) и Туркменистану (31%).</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 представлена информация об объемах добычи природного газа </w:t>
      </w:r>
      <w:r>
        <w:rPr>
          <w:rFonts w:ascii="Times New Roman CYR" w:hAnsi="Times New Roman CYR" w:cs="Times New Roman CYR"/>
          <w:sz w:val="28"/>
          <w:szCs w:val="28"/>
        </w:rPr>
        <w:lastRenderedPageBreak/>
        <w:t>по странам мира.</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Добыча природного газа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3"/>
        <w:gridCol w:w="2109"/>
        <w:gridCol w:w="1845"/>
        <w:gridCol w:w="1808"/>
      </w:tblGrid>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на 2012 г. в </w:t>
            </w:r>
            <w:proofErr w:type="gramStart"/>
            <w:r>
              <w:rPr>
                <w:rFonts w:ascii="Times New Roman CYR" w:hAnsi="Times New Roman CYR" w:cs="Times New Roman CYR"/>
                <w:sz w:val="20"/>
                <w:szCs w:val="20"/>
              </w:rPr>
              <w:t>млрд</w:t>
            </w:r>
            <w:proofErr w:type="gramEnd"/>
            <w:r>
              <w:rPr>
                <w:rFonts w:ascii="Times New Roman CYR" w:hAnsi="Times New Roman CYR" w:cs="Times New Roman CYR"/>
                <w:sz w:val="20"/>
                <w:szCs w:val="20"/>
              </w:rPr>
              <w:t xml:space="preserve"> куб. м.</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на 2016 г. в </w:t>
            </w:r>
            <w:proofErr w:type="gramStart"/>
            <w:r>
              <w:rPr>
                <w:rFonts w:ascii="Times New Roman CYR" w:hAnsi="Times New Roman CYR" w:cs="Times New Roman CYR"/>
                <w:sz w:val="20"/>
                <w:szCs w:val="20"/>
              </w:rPr>
              <w:t>млрд</w:t>
            </w:r>
            <w:proofErr w:type="gramEnd"/>
            <w:r>
              <w:rPr>
                <w:rFonts w:ascii="Times New Roman CYR" w:hAnsi="Times New Roman CYR" w:cs="Times New Roman CYR"/>
                <w:sz w:val="20"/>
                <w:szCs w:val="20"/>
              </w:rPr>
              <w:t xml:space="preserve"> куб. м.</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на 2016 г. в доле</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от общего объема</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680,5</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767,3</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Туркменистан </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72,4</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Китай</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111,8</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138</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Норвегия</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114,7</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117,2</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146,7</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120,1</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ОАЭ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Иран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166,2</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192,5</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Катар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181,4</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Египет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Алжир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Ливия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Оман </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Нигерия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Венесуэла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Боливия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Тринидад и Тобаго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2C65AC">
        <w:tc>
          <w:tcPr>
            <w:tcW w:w="3033"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РФ (член ФСЭГ)</w:t>
            </w:r>
          </w:p>
        </w:tc>
        <w:tc>
          <w:tcPr>
            <w:tcW w:w="210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592,3</w:t>
            </w:r>
          </w:p>
        </w:tc>
        <w:tc>
          <w:tcPr>
            <w:tcW w:w="1845"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573,3</w:t>
            </w:r>
          </w:p>
        </w:tc>
        <w:tc>
          <w:tcPr>
            <w:tcW w:w="18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r>
    </w:tbl>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Лидером по добыче газа продолжают оставаться США (22,5%). Также высокие показатели у РФ (16,1%), Иран (5,4%), Катар (5,1%), Китай (3,9%) и Норвегия (3,3%).</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за анализируемый пятилетний период добыча природного газа в некоторых странах находится в состоянии стагнации или даже спада, РФ, ОАЭ, Египет, Тринидад и Тобаго, когда в то же время такие страны как США, Иран, Катар, Китай и Норвегия смогли значительно увеличить свой газовый потенциал.</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 изображены основные потоки газовой торговли по регионам мира по трубопроводам и СПГ.</w:t>
      </w:r>
    </w:p>
    <w:p w:rsidR="002C65AC" w:rsidRDefault="002C65AC">
      <w:pPr>
        <w:widowControl w:val="0"/>
        <w:autoSpaceDE w:val="0"/>
        <w:autoSpaceDN w:val="0"/>
        <w:adjustRightInd w:val="0"/>
        <w:spacing w:after="0" w:line="360" w:lineRule="auto"/>
        <w:rPr>
          <w:rFonts w:ascii="Times New Roman CYR" w:hAnsi="Times New Roman CYR" w:cs="Times New Roman CYR"/>
          <w:sz w:val="28"/>
          <w:szCs w:val="28"/>
        </w:rPr>
      </w:pPr>
    </w:p>
    <w:p w:rsidR="002C65AC" w:rsidRDefault="00FC1561">
      <w:pPr>
        <w:widowControl w:val="0"/>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62550" cy="284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284480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Основные потоки газовой торговли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куб.м.)</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Российская Федерация является лидером в экспорте газа через трубопроводы (193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куб.м.), крупными трубопроводными экспортерами также являются Норвегия, Канада и США.</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 Статистика мирового экспорта природного газа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2"/>
        <w:gridCol w:w="2708"/>
        <w:gridCol w:w="3119"/>
      </w:tblGrid>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на 2014 г. в </w:t>
            </w:r>
            <w:proofErr w:type="gramStart"/>
            <w:r>
              <w:rPr>
                <w:rFonts w:ascii="Times New Roman CYR" w:hAnsi="Times New Roman CYR" w:cs="Times New Roman CYR"/>
                <w:sz w:val="20"/>
                <w:szCs w:val="20"/>
              </w:rPr>
              <w:t>млрд</w:t>
            </w:r>
            <w:proofErr w:type="gramEnd"/>
            <w:r>
              <w:rPr>
                <w:rFonts w:ascii="Times New Roman CYR" w:hAnsi="Times New Roman CYR" w:cs="Times New Roman CYR"/>
                <w:sz w:val="20"/>
                <w:szCs w:val="20"/>
              </w:rPr>
              <w:t xml:space="preserve"> куб.м.</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на 2015 г. в </w:t>
            </w:r>
            <w:proofErr w:type="gramStart"/>
            <w:r>
              <w:rPr>
                <w:rFonts w:ascii="Times New Roman CYR" w:hAnsi="Times New Roman CYR" w:cs="Times New Roman CYR"/>
                <w:sz w:val="20"/>
                <w:szCs w:val="20"/>
              </w:rPr>
              <w:t>млрд</w:t>
            </w:r>
            <w:proofErr w:type="gramEnd"/>
            <w:r>
              <w:rPr>
                <w:rFonts w:ascii="Times New Roman CYR" w:hAnsi="Times New Roman CYR" w:cs="Times New Roman CYR"/>
                <w:sz w:val="20"/>
                <w:szCs w:val="20"/>
              </w:rPr>
              <w:t xml:space="preserve"> куб.м.</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США</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43,350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49,880</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Туркменистан </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45,850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45,804</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Норвегия</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106,759</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114,221</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117,32</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112,646</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ОАЭ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13,520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13,200</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Иран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8,360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8,541</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Катар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122,628</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129,877</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Египет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5,147</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2,573</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Алжир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44,190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43,418</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Ливия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4,961</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4,664</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Оман </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10,830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10,721</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Нигерия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26.777</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26,703</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Боливия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17,802</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17,597</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Тринидад и Тобаго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17,410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17,061</w:t>
            </w:r>
          </w:p>
        </w:tc>
      </w:tr>
      <w:tr w:rsidR="002C65AC">
        <w:tc>
          <w:tcPr>
            <w:tcW w:w="3212"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РФ (член ФСЭГ)</w:t>
            </w:r>
          </w:p>
        </w:tc>
        <w:tc>
          <w:tcPr>
            <w:tcW w:w="2708"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192,930</w:t>
            </w:r>
          </w:p>
        </w:tc>
        <w:tc>
          <w:tcPr>
            <w:tcW w:w="3119" w:type="dxa"/>
            <w:tcBorders>
              <w:top w:val="single" w:sz="6" w:space="0" w:color="auto"/>
              <w:left w:val="single" w:sz="6" w:space="0" w:color="auto"/>
              <w:bottom w:val="single" w:sz="6" w:space="0" w:color="auto"/>
              <w:right w:val="single" w:sz="6" w:space="0" w:color="auto"/>
            </w:tcBorders>
          </w:tcPr>
          <w:p w:rsidR="002C65AC" w:rsidRDefault="008F40F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196,016</w:t>
            </w:r>
          </w:p>
        </w:tc>
      </w:tr>
    </w:tbl>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Проводя анализ рынка газа, нельзя не рассматривать позиции </w:t>
      </w:r>
      <w:r>
        <w:rPr>
          <w:rFonts w:ascii="Times New Roman CYR" w:hAnsi="Times New Roman CYR" w:cs="Times New Roman CYR"/>
          <w:sz w:val="28"/>
          <w:szCs w:val="28"/>
        </w:rPr>
        <w:lastRenderedPageBreak/>
        <w:t>стран-участниц Форума Стран Экспортеров Газа, роль которых на мировом газовом рынке имеет огромную значимость. Именно поэтому стоит проанализировать положение дел в отдельно взятых странах-участницах форума.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Россия является богатой на запасы ресурсов страной,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доказанные запасы газа составляют 32,3 триллионов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добычи страны достигает 645,9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Экспортом в Российской Федерации занимается государственная компания «Газпром». В основном российский газ поставляется в Европу: </w:t>
      </w:r>
      <w:proofErr w:type="gramStart"/>
      <w:r>
        <w:rPr>
          <w:rFonts w:ascii="Times New Roman CYR" w:hAnsi="Times New Roman CYR" w:cs="Times New Roman CYR"/>
          <w:sz w:val="28"/>
          <w:szCs w:val="28"/>
        </w:rPr>
        <w:t>Словакию, Чехию, Австрию, Германию, Францию, Швейцарию, Словению, Италию, Польшу, Венгрию, Сербию, Боснию, Румынию, Болгарию, Грецию, Турцию, Македонию, Нидерланды, Бельгию, Англию и Финляндию.</w:t>
      </w:r>
      <w:proofErr w:type="gramEnd"/>
      <w:r>
        <w:rPr>
          <w:rFonts w:ascii="Times New Roman CYR" w:hAnsi="Times New Roman CYR" w:cs="Times New Roman CYR"/>
          <w:sz w:val="28"/>
          <w:szCs w:val="28"/>
        </w:rPr>
        <w:t xml:space="preserve"> Самым крупным по объемам мощностей проектом по транзиту газа в Европу является «Северный поток», с объемом мощности 55 млрд. куб. 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 год.</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При этом доля экспорта составляет 185,5 млрд. куб. м. Из них 27% в Германию, 15% в Италию и 13,6% в Турцию.</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России активно идет развитие производства СПГ: на данный момент крупнейшим проектом по производству сжиженного газа является Сахалин-2, общая мощность которого достигает 11 млн. тонн в год. Активно идет развитие других проектов по сжиженному газу.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Удачный экспорт в 2016 году был охарактеризован с одной стороны снижением добычи газа в Европе, с другой ростом потребления. Также одной из причин стала холодная зима.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внутреннем рынке на данный момент наблюдается тенденция роста, достигая 467,5 млрд. куб. м, что в первую очередь связано ростом добычи газ. Основная доля потребления газа приходится на электроэнергию.</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Катар, будучи самым большим экспортером сжиженного газа в мире, является очень важным игроком в газовой отрасли. Добычи газа и нефти </w:t>
      </w:r>
      <w:r>
        <w:rPr>
          <w:rFonts w:ascii="Times New Roman CYR" w:hAnsi="Times New Roman CYR" w:cs="Times New Roman CYR"/>
          <w:sz w:val="28"/>
          <w:szCs w:val="28"/>
        </w:rPr>
        <w:lastRenderedPageBreak/>
        <w:t>являются основой экономики Катара, составляя порядка 50% от В</w:t>
      </w:r>
      <w:proofErr w:type="gramStart"/>
      <w:r>
        <w:rPr>
          <w:rFonts w:ascii="Times New Roman CYR" w:hAnsi="Times New Roman CYR" w:cs="Times New Roman CYR"/>
          <w:sz w:val="28"/>
          <w:szCs w:val="28"/>
        </w:rPr>
        <w:t>ВП стр</w:t>
      </w:r>
      <w:proofErr w:type="gramEnd"/>
      <w:r>
        <w:rPr>
          <w:rFonts w:ascii="Times New Roman CYR" w:hAnsi="Times New Roman CYR" w:cs="Times New Roman CYR"/>
          <w:sz w:val="28"/>
          <w:szCs w:val="28"/>
        </w:rPr>
        <w:t>аны. Страна занимает третье место по запасам газа, которые достигают 24,5 триллионов куб. м, уступая лишь России и Ирану.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Объемы добыча природного газа составляют 181,4 млрд. куб. м. По добыче газа Катар проигрывать США, России и Ирану. Основная доля добычи, включая производство, транспортировку, хранение, сбыт, сжижение природного газа реализуется государственной газовой компанией </w:t>
      </w:r>
      <w:r>
        <w:rPr>
          <w:rFonts w:ascii="Times New Roman CYR" w:hAnsi="Times New Roman CYR" w:cs="Times New Roman CYR"/>
          <w:sz w:val="28"/>
          <w:szCs w:val="28"/>
          <w:lang w:val="en-US"/>
        </w:rPr>
        <w:t>Qatar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Petroleum</w:t>
      </w:r>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Политика экспорта газа в основном связана с экспортом СПГ, совершая поставки 83% добываемого природного газа в сжиженном виде. Основным направления сбыта сжиженного газа являются Азия и Европа. В большей степени СПГ </w:t>
      </w:r>
      <w:proofErr w:type="gramStart"/>
      <w:r>
        <w:rPr>
          <w:rFonts w:ascii="Times New Roman CYR" w:hAnsi="Times New Roman CYR" w:cs="Times New Roman CYR"/>
          <w:sz w:val="28"/>
          <w:szCs w:val="28"/>
        </w:rPr>
        <w:t>экспортирует в Азию составляя</w:t>
      </w:r>
      <w:proofErr w:type="gramEnd"/>
      <w:r>
        <w:rPr>
          <w:rFonts w:ascii="Times New Roman CYR" w:hAnsi="Times New Roman CYR" w:cs="Times New Roman CYR"/>
          <w:sz w:val="28"/>
          <w:szCs w:val="28"/>
        </w:rPr>
        <w:t xml:space="preserve"> 72% сжиженного газа Катара, в то время как в Европу порядка 23%. Катар также занимается поставками природного газа в Объединенные Арабские Эмираты и Оман. Отличительной чертой Катара на мировом рынке является тот факт, что их экспортный потенциал сжиженного газа достигает 77 миллионов тонн в год, что является крупнейшим в мире. В рамках Форума Стран Экспортеров Газа Катар идет на втором месте по экспорту природного, уступая первую позицию Российской Федерации.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внутреннем рынке с каждым годом наблюдается сильная тенденция </w:t>
      </w:r>
      <w:proofErr w:type="gramStart"/>
      <w:r>
        <w:rPr>
          <w:rFonts w:ascii="Times New Roman CYR" w:hAnsi="Times New Roman CYR" w:cs="Times New Roman CYR"/>
          <w:sz w:val="28"/>
          <w:szCs w:val="28"/>
        </w:rPr>
        <w:t>роста</w:t>
      </w:r>
      <w:proofErr w:type="gramEnd"/>
      <w:r>
        <w:rPr>
          <w:rFonts w:ascii="Times New Roman CYR" w:hAnsi="Times New Roman CYR" w:cs="Times New Roman CYR"/>
          <w:sz w:val="28"/>
          <w:szCs w:val="28"/>
        </w:rPr>
        <w:t xml:space="preserve"> достигая порядка 45,2 млрд. куб. м. в год. Потребление в основном приходится на сектора электро- и водоснабжения.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Иран</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является владельцем крупнейших запасов природного газа. Доказанные запасы газа составляют 34 триллионов куб. м. </w:t>
      </w:r>
      <w:proofErr w:type="gramStart"/>
      <w:r>
        <w:rPr>
          <w:rFonts w:ascii="Times New Roman CYR" w:hAnsi="Times New Roman CYR" w:cs="Times New Roman CYR"/>
          <w:sz w:val="28"/>
          <w:szCs w:val="28"/>
        </w:rPr>
        <w:t>Но</w:t>
      </w:r>
      <w:proofErr w:type="gramEnd"/>
      <w:r>
        <w:rPr>
          <w:rFonts w:ascii="Times New Roman CYR" w:hAnsi="Times New Roman CYR" w:cs="Times New Roman CYR"/>
          <w:sz w:val="28"/>
          <w:szCs w:val="28"/>
        </w:rPr>
        <w:t xml:space="preserve"> несмотря на это, ввиду неразвитости инфраструктуры добычи и транспортировки газа, Иран не может в полной мере способствовать развитию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природного газа достигает 192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импортером Иранского газа являются Турция. Однако экспорт иранского газа сопряжен с тем, что спрос на внутреннем рынке почти полностью </w:t>
      </w:r>
      <w:r>
        <w:rPr>
          <w:rFonts w:ascii="Times New Roman CYR" w:hAnsi="Times New Roman CYR" w:cs="Times New Roman CYR"/>
          <w:sz w:val="28"/>
          <w:szCs w:val="28"/>
        </w:rPr>
        <w:lastRenderedPageBreak/>
        <w:t>забирает добываемые объемы, ввиду чего Ирану приходится импортировать газ из Туркменистана, чтобы отвечать на свои экспортные обязательства.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внутреннем рынке потребляется порядка 191,2 млрд. куб. м, при этом идет постоянная тенденция роста спроса.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Ливия занимает пятое место в Африке по доказанным запасам газа, которые составляют 1,5 триллионов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Добыча природного газа достигает 12,8 млрд. куб. м. Резкий спад добыче природного газа и его экспорте был связан с гражданской войной, однако можно сказать, что газовая отрасль Ливии успешно продвигается в восстановлении газовой отрасли. Экспорт ливийского газа осуществляется по газопроводу </w:t>
      </w:r>
      <w:r>
        <w:rPr>
          <w:rFonts w:ascii="Times New Roman CYR" w:hAnsi="Times New Roman CYR" w:cs="Times New Roman CYR"/>
          <w:sz w:val="28"/>
          <w:szCs w:val="28"/>
          <w:lang w:val="en-US"/>
        </w:rPr>
        <w:t>Greenstream</w:t>
      </w:r>
      <w:r>
        <w:rPr>
          <w:rFonts w:ascii="Times New Roman CYR" w:hAnsi="Times New Roman CYR" w:cs="Times New Roman CYR"/>
          <w:sz w:val="28"/>
          <w:szCs w:val="28"/>
        </w:rPr>
        <w:t xml:space="preserve"> в Италию, общей производственной мощностью 8 млрд. куб. м. и составляет 7,6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внутреннем рынке потребляется порядка 5,2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Алжир является одним из крупнейших производителей природного газа, занимая 9-ое место в мире. Объем добычи газа на 2015 составил 83 млрд. куб. м. при доказанных запасах страны 4,50 триллионов куб. метров, что ставит страну на 10-ое место в мире по запасам. Разработка месторождений осуществляется государственной газовой компанией </w:t>
      </w:r>
      <w:r>
        <w:rPr>
          <w:rFonts w:ascii="Times New Roman CYR" w:hAnsi="Times New Roman CYR" w:cs="Times New Roman CYR"/>
          <w:sz w:val="28"/>
          <w:szCs w:val="28"/>
          <w:lang w:val="en-US"/>
        </w:rPr>
        <w:t>Sonatrach</w:t>
      </w:r>
      <w:r>
        <w:rPr>
          <w:rFonts w:ascii="Times New Roman CYR" w:hAnsi="Times New Roman CYR" w:cs="Times New Roman CYR"/>
          <w:sz w:val="28"/>
          <w:szCs w:val="28"/>
        </w:rPr>
        <w:t xml:space="preserve">, доля добычи которой составляют 80% в стране. Разработка осуществляется в сотрудничестве с зарубежными компаниями, такими как </w:t>
      </w:r>
      <w:r>
        <w:rPr>
          <w:rFonts w:ascii="Times New Roman CYR" w:hAnsi="Times New Roman CYR" w:cs="Times New Roman CYR"/>
          <w:sz w:val="28"/>
          <w:szCs w:val="28"/>
          <w:lang w:val="en-US"/>
        </w:rPr>
        <w:t>BP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Statoil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Total</w:t>
      </w:r>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производства СПГ в Алжире завязано на трех заводах по производству сжиженного газа, общая мощность которых составляет 26,2 млрд. куб. м. в год.</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Касательно экспорта, Алжир занимает 7-ое место в мире по транспортировке трубопроводного газа. На начало 2016 года объем экспорта природного газа Алжира составлял 43,418 млрд. куб. м. В основном поставки совершаются в Южную Европу, Марокко, Тунис и Словению. Основными </w:t>
      </w:r>
      <w:r>
        <w:rPr>
          <w:rFonts w:ascii="Times New Roman CYR" w:hAnsi="Times New Roman CYR" w:cs="Times New Roman CYR"/>
          <w:sz w:val="28"/>
          <w:szCs w:val="28"/>
        </w:rPr>
        <w:lastRenderedPageBreak/>
        <w:t>импортерами алжирского газа в направлении Южной Европы являются Испания и Италия. На Италию приходится 62% трубопроводного экспорта Алжира, делая ее основным импортером алжирского газа. На Италию приходится порядка 27%. Оставшиеся объемы экспортируемого трубопроводного газа распределяется между Марокко, Тунисом и Словенией примерно в равных пропорциях.</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торговли сжиженным газом, Алжир занимает 7-ое место по экспорту СПГ. Основными импортерами алжирского сжиженного газа являются Европа, Япония, Индия, Великобритания и Турция. В Европе импортируют СПГ из Алжира Франция, Испания, Греция, Италия, Португалия, Нидерланды и Бельгия. Франция является основным европейским потребителем, импортируя порядка 30% СПГ Алжира.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внутреннем рынке к началу 2016 года потреблялось порядка 39 млрд. куб. м. Потребление на внутреннем рынке </w:t>
      </w:r>
      <w:proofErr w:type="gramStart"/>
      <w:r>
        <w:rPr>
          <w:rFonts w:ascii="Times New Roman CYR" w:hAnsi="Times New Roman CYR" w:cs="Times New Roman CYR"/>
          <w:sz w:val="28"/>
          <w:szCs w:val="28"/>
        </w:rPr>
        <w:t>растет</w:t>
      </w:r>
      <w:proofErr w:type="gramEnd"/>
      <w:r>
        <w:rPr>
          <w:rFonts w:ascii="Times New Roman CYR" w:hAnsi="Times New Roman CYR" w:cs="Times New Roman CYR"/>
          <w:sz w:val="28"/>
          <w:szCs w:val="28"/>
        </w:rPr>
        <w:t xml:space="preserve"> начиная с 2005 года. Основная доля потребления приходится на электроэнергетику, население и промышленность. Распределением и реализацией газа занимается газовая государственная компания </w:t>
      </w:r>
      <w:r>
        <w:rPr>
          <w:rFonts w:ascii="Times New Roman CYR" w:hAnsi="Times New Roman CYR" w:cs="Times New Roman CYR"/>
          <w:sz w:val="28"/>
          <w:szCs w:val="28"/>
          <w:lang w:val="en-US"/>
        </w:rPr>
        <w:t>Sonatrach</w:t>
      </w:r>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Венесуэла занимает второе место по объему доказанных запасов газа в Северной и Южной Америке, объем которых составляет 5,6 триллионов куб. м. Ввиду недостатка финансирования, возникает проблема развития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природного газа в основном сопряжена с добычей нефти, достигает 32,4 млрд. куб. м. В то время как на внутреннем рынке потребляется порядка 34,5 млрд. куб. м. Что вынуждает страну импортировать газ из Колумбии.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Боливия является одним крупнейших экспортеров трубопроводного газа в Южной Америке. Доказанные запасы газа составляют 300 млрд. куб. м. Добычей природного газа </w:t>
      </w:r>
      <w:proofErr w:type="gramStart"/>
      <w:r>
        <w:rPr>
          <w:rFonts w:ascii="Times New Roman CYR" w:hAnsi="Times New Roman CYR" w:cs="Times New Roman CYR"/>
          <w:sz w:val="28"/>
          <w:szCs w:val="28"/>
        </w:rPr>
        <w:t>занимаются</w:t>
      </w:r>
      <w:proofErr w:type="gramEnd"/>
      <w:r>
        <w:rPr>
          <w:rFonts w:ascii="Times New Roman CYR" w:hAnsi="Times New Roman CYR" w:cs="Times New Roman CYR"/>
          <w:sz w:val="28"/>
          <w:szCs w:val="28"/>
        </w:rPr>
        <w:t xml:space="preserve"> крупнейшая газодобывающая компания Боливии </w:t>
      </w:r>
      <w:r>
        <w:rPr>
          <w:rFonts w:ascii="Times New Roman CYR" w:hAnsi="Times New Roman CYR" w:cs="Times New Roman CYR"/>
          <w:sz w:val="28"/>
          <w:szCs w:val="28"/>
          <w:lang w:val="en-US"/>
        </w:rPr>
        <w:t>Petrobras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Bolivia</w:t>
      </w:r>
      <w:r>
        <w:rPr>
          <w:rFonts w:ascii="Times New Roman CYR" w:hAnsi="Times New Roman CYR" w:cs="Times New Roman CYR"/>
          <w:sz w:val="28"/>
          <w:szCs w:val="28"/>
        </w:rPr>
        <w:t xml:space="preserve"> с долей по добыче 60%, </w:t>
      </w:r>
      <w:r>
        <w:rPr>
          <w:rFonts w:ascii="Times New Roman CYR" w:hAnsi="Times New Roman CYR" w:cs="Times New Roman CYR"/>
          <w:sz w:val="28"/>
          <w:szCs w:val="28"/>
          <w:lang w:val="en-US"/>
        </w:rPr>
        <w:t>Chaco</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YPFB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Andina</w:t>
      </w:r>
      <w:r>
        <w:rPr>
          <w:rFonts w:ascii="Times New Roman CYR" w:hAnsi="Times New Roman CYR" w:cs="Times New Roman CYR"/>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Объем добычи </w:t>
      </w:r>
      <w:r>
        <w:rPr>
          <w:rFonts w:ascii="Times New Roman CYR" w:hAnsi="Times New Roman CYR" w:cs="Times New Roman CYR"/>
          <w:sz w:val="28"/>
          <w:szCs w:val="28"/>
        </w:rPr>
        <w:lastRenderedPageBreak/>
        <w:t xml:space="preserve">природного газа достигает 20,9 млрд. куб. м. Добыча осуществляется на основе </w:t>
      </w:r>
      <w:r>
        <w:rPr>
          <w:rFonts w:ascii="Times New Roman CYR" w:hAnsi="Times New Roman CYR" w:cs="Times New Roman CYR"/>
          <w:sz w:val="28"/>
          <w:szCs w:val="28"/>
          <w:lang w:val="en-US"/>
        </w:rPr>
        <w:t>Sabalo</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San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Alberto</w:t>
      </w:r>
      <w:r>
        <w:rPr>
          <w:rFonts w:ascii="Times New Roman CYR" w:hAnsi="Times New Roman CYR" w:cs="Times New Roman CYR"/>
          <w:sz w:val="28"/>
          <w:szCs w:val="28"/>
        </w:rPr>
        <w:t xml:space="preserve"> месторождений. Основными направлениями сбыта природного газа являются Бразилия и Аргентина на основе долгосрочных контрактов, действующими до 2019 и 2027 годов в Бразилию и Аргентину соответственно. Пропускная способность трубопроводов по этим направлениям в совокупности составляет 22,5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внутреннем рынке протяженность магистральных газопроводов составляет 4,3 тыс. км, а потребляется порядка 3 млрд. куб. м. Основная доля потребления приходится в основном на электроэнергетику, а также и на промышленность, транспорт и население.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Египет. Доказанные запасы газа составляют 1,8 триллионов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Добыча природного газа достигает 45,6 млрд. куб. м. Наблюдается тенденция спада объема экспорта и добычи, что напрямую связано с растущим потреблением, особенно в секторе энергетики, которое составляет порядка 47,8 млрд. куб. м. Для удовлетворения потребительского спроса на внутреннем рынке Египет импортировал СПГ из России и Алжира до недолгого времени. После обнаружения огромных запасов природного газа в Средиземном море, общий потенциал которых оценивается в 850 млрд. куб. м. Египет приостановил импорт. В рамках экспорта у Египта есть два завода по сжижению газа общей мощностью 12,7 млн. тонн в год. В том числе налажен газопровод с Иорданией, Сирией и Ливаном.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Нигерия Доказанные запасы газа Нигерии составляют 5,1 триллионов куб. м, что ставит страну на первое место по объемам доказанного газа в Африке, и на девятое в мире.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большие запасы, добыча газа сопряжена с недостатком финансирования в инфраструктуру. Однако добыча природного газа на данный момент достигает 50,1 млрд. куб. м, что является рекордным показателем для </w:t>
      </w:r>
      <w:r>
        <w:rPr>
          <w:rFonts w:ascii="Times New Roman CYR" w:hAnsi="Times New Roman CYR" w:cs="Times New Roman CYR"/>
          <w:sz w:val="28"/>
          <w:szCs w:val="28"/>
        </w:rPr>
        <w:lastRenderedPageBreak/>
        <w:t>страны.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Нигерия экспортирует газ в виде СПГ и по Западноафриканскому газопроводу. Объем экспорта составляет примерно 31,3 млрд. куб. м в год. В основном делается акцент на торговлю сжиженным газом, в торговле которым страна занимает четвертое место в мире. Основными импортерами СПГ Нигерии является Азия, Северная и Южная Америка и Европа. Самым крупным потребителем является Азия в лице Японии и Южной Кореи.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Трубопроводные же поставки совершаются Западноафриканский газопровод в близлежащие страны, а именно</w:t>
      </w:r>
      <w:proofErr w:type="gramStart"/>
      <w:r>
        <w:rPr>
          <w:rFonts w:ascii="Times New Roman CYR" w:hAnsi="Times New Roman CYR" w:cs="Times New Roman CYR"/>
          <w:sz w:val="28"/>
          <w:szCs w:val="28"/>
        </w:rPr>
        <w:t xml:space="preserve"> Т</w:t>
      </w:r>
      <w:proofErr w:type="gramEnd"/>
      <w:r>
        <w:rPr>
          <w:rFonts w:ascii="Times New Roman CYR" w:hAnsi="Times New Roman CYR" w:cs="Times New Roman CYR"/>
          <w:sz w:val="28"/>
          <w:szCs w:val="28"/>
        </w:rPr>
        <w:t>ого, Гана и Бенин и составляют меньшую долю экспорта Нигерии.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Потребление на внутреннем рынке составляет порядка 18,7 млрд. куб. м. газа в год, что составляет 37% добываемого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Тринидад и Тобаго. Доказанные запасы газа составляют 300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добычи страны достигает 39,6 млрд. куб. м, что делает страну лидером по добыче природного газа в регионе Центральной и Южной Америки. На внутреннем рынке потребляется порядка 21,5 млрд. куб. 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Объединенные Арабские Эмираты. Доказанные запасы газа составляют 6,1 триллионов куб. м. Добыча природного газа достигает 55,8 млрд. куб. м. Объединенные Арабские Эмираты импортируют газ из Катара по газопроводу Dolphin Energy с целью обеспечить гарантию удовлетворения спроса на внутреннем рынке </w:t>
      </w:r>
      <w:proofErr w:type="gramStart"/>
      <w:r>
        <w:rPr>
          <w:rFonts w:ascii="Times New Roman CYR" w:hAnsi="Times New Roman CYR" w:cs="Times New Roman CYR"/>
          <w:sz w:val="28"/>
          <w:szCs w:val="28"/>
        </w:rPr>
        <w:t>объем</w:t>
      </w:r>
      <w:proofErr w:type="gramEnd"/>
      <w:r>
        <w:rPr>
          <w:rFonts w:ascii="Times New Roman CYR" w:hAnsi="Times New Roman CYR" w:cs="Times New Roman CYR"/>
          <w:sz w:val="28"/>
          <w:szCs w:val="28"/>
        </w:rPr>
        <w:t xml:space="preserve"> которого составляет порядка 69,1 млрд. куб. м, основная доля которого в основном приходится на электроэнергетический сектор. При этом страна является экспортером СПГ, основным импортером которого является Япония, и в меньшей доле Бразилия с Индией.</w:t>
      </w:r>
    </w:p>
    <w:p w:rsidR="002C65AC" w:rsidRDefault="002C65AC">
      <w:pPr>
        <w:widowControl w:val="0"/>
        <w:autoSpaceDE w:val="0"/>
        <w:autoSpaceDN w:val="0"/>
        <w:adjustRightInd w:val="0"/>
        <w:spacing w:after="0" w:line="360" w:lineRule="auto"/>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499100" cy="32131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2</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99100" cy="37655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376555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3</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949950" cy="3587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358775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4</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949950" cy="330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0" cy="330200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5</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Ценообразование в газовой отрасли</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Ценообразование в газовой отрасли образуется в соответствии с рынком и видом контракта в рамках этого рынка.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выделяются два типа рынка: рынок долгосрочных контрактов и рынок краткосрочных контрактов. И два вида контрактов, долгосрочные и краткосрочные (спотовые) соответственно, цены на газ в которых образуются согласно принципам, свойственным тому или иному контракту и рынку. Каждому рынку свойственны свои особенности, имея свои плюсы и минусы.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контракты (рынок долгосрочных контрактов).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долгосрочные контракты называют формально S</w:t>
      </w:r>
      <w:r>
        <w:rPr>
          <w:rFonts w:ascii="Times New Roman CYR" w:hAnsi="Times New Roman CYR" w:cs="Times New Roman CYR"/>
          <w:sz w:val="28"/>
          <w:szCs w:val="28"/>
          <w:lang w:val="en-US"/>
        </w:rPr>
        <w:t>PA</w:t>
      </w:r>
      <w:r>
        <w:rPr>
          <w:rFonts w:ascii="Times New Roman CYR" w:hAnsi="Times New Roman CYR" w:cs="Times New Roman CYR"/>
          <w:sz w:val="28"/>
          <w:szCs w:val="28"/>
        </w:rPr>
        <w:t xml:space="preserve">, что с английского переводится как договор купли-продажи. В основном, такого рода соглашения </w:t>
      </w:r>
      <w:proofErr w:type="gramStart"/>
      <w:r>
        <w:rPr>
          <w:rFonts w:ascii="Times New Roman CYR" w:hAnsi="Times New Roman CYR" w:cs="Times New Roman CYR"/>
          <w:sz w:val="28"/>
          <w:szCs w:val="28"/>
        </w:rPr>
        <w:t>представляют из себя</w:t>
      </w:r>
      <w:proofErr w:type="gramEnd"/>
      <w:r>
        <w:rPr>
          <w:rFonts w:ascii="Times New Roman CYR" w:hAnsi="Times New Roman CYR" w:cs="Times New Roman CYR"/>
          <w:sz w:val="28"/>
          <w:szCs w:val="28"/>
        </w:rPr>
        <w:t xml:space="preserve"> совокупность множества различных условий, которые определяют характер отношений между сторонами.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из всех этих условий выделяются три основных типа условий: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Цена</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Долгосрочные контракты подразумевают использование так называемой Гронингенской модели ценообразования, в которой цены привязаны к стоимости его замещения, то есть к стоимости альтернативных газу энергоносителей на рынке у покупателя, включая ценовую формулу.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Ценовая формула создается в несколько этапов:</w:t>
      </w:r>
    </w:p>
    <w:p w:rsidR="002C65AC" w:rsidRPr="00D37791"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mbria" w:hAnsi="Cambria" w:cs="Cambria"/>
          <w:sz w:val="28"/>
          <w:szCs w:val="28"/>
        </w:rPr>
        <w:t>-</w:t>
      </w:r>
      <w:r>
        <w:rPr>
          <w:rFonts w:ascii="Cambria" w:hAnsi="Cambria" w:cs="Cambria"/>
          <w:sz w:val="28"/>
          <w:szCs w:val="28"/>
        </w:rPr>
        <w:tab/>
      </w:r>
      <w:r>
        <w:rPr>
          <w:rFonts w:ascii="Times New Roman CYR" w:hAnsi="Times New Roman CYR" w:cs="Times New Roman CYR"/>
          <w:sz w:val="28"/>
          <w:szCs w:val="28"/>
        </w:rPr>
        <w:t>определение базовой цены (</w:t>
      </w:r>
      <w:r>
        <w:rPr>
          <w:rFonts w:ascii="Times New Roman CYR" w:hAnsi="Times New Roman CYR" w:cs="Times New Roman CYR"/>
          <w:sz w:val="28"/>
          <w:szCs w:val="28"/>
          <w:lang w:val="en-US"/>
        </w:rPr>
        <w:t>Po</w:t>
      </w:r>
      <w:r w:rsidRPr="00D37791">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Cambria" w:hAnsi="Cambria" w:cs="Cambria"/>
          <w:sz w:val="28"/>
          <w:szCs w:val="28"/>
        </w:rPr>
        <w:t>-</w:t>
      </w:r>
      <w:r>
        <w:rPr>
          <w:rFonts w:ascii="Cambria" w:hAnsi="Cambria" w:cs="Cambria"/>
          <w:sz w:val="28"/>
          <w:szCs w:val="28"/>
        </w:rPr>
        <w:tab/>
      </w:r>
      <w:r>
        <w:rPr>
          <w:rFonts w:ascii="Times New Roman CYR" w:hAnsi="Times New Roman CYR" w:cs="Times New Roman CYR"/>
          <w:sz w:val="28"/>
          <w:szCs w:val="28"/>
        </w:rPr>
        <w:t>соглашение об условиях индексации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146550" cy="5334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6550" cy="533400"/>
                    </a:xfrm>
                    <a:prstGeom prst="rect">
                      <a:avLst/>
                    </a:prstGeom>
                    <a:noFill/>
                    <a:ln>
                      <a:noFill/>
                    </a:ln>
                  </pic:spPr>
                </pic:pic>
              </a:graphicData>
            </a:graphic>
          </wp:inline>
        </w:drawing>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Где: </w:t>
      </w:r>
      <w:r>
        <w:rPr>
          <w:rFonts w:ascii="Times New Roman CYR" w:hAnsi="Times New Roman CYR" w:cs="Times New Roman CYR"/>
          <w:sz w:val="28"/>
          <w:szCs w:val="28"/>
          <w:lang w:val="en-US"/>
        </w:rPr>
        <w:t>Pn</w:t>
      </w:r>
      <w:r>
        <w:rPr>
          <w:rFonts w:ascii="Times New Roman CYR" w:hAnsi="Times New Roman CYR" w:cs="Times New Roman CYR"/>
          <w:sz w:val="28"/>
          <w:szCs w:val="28"/>
        </w:rPr>
        <w:t xml:space="preserve"> - цена за квартал или месяц</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Po</w:t>
      </w:r>
      <w:r>
        <w:rPr>
          <w:rFonts w:ascii="Times New Roman CYR" w:hAnsi="Times New Roman CYR" w:cs="Times New Roman CYR"/>
          <w:sz w:val="28"/>
          <w:szCs w:val="28"/>
        </w:rPr>
        <w:t xml:space="preserve"> - базовая цена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FO</w:t>
      </w:r>
      <w:r>
        <w:rPr>
          <w:rFonts w:ascii="Times New Roman CYR" w:hAnsi="Times New Roman CYR" w:cs="Times New Roman CYR"/>
          <w:sz w:val="28"/>
          <w:szCs w:val="28"/>
        </w:rPr>
        <w:t xml:space="preserve"> - цена на горючее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GO</w:t>
      </w:r>
      <w:r>
        <w:rPr>
          <w:rFonts w:ascii="Times New Roman CYR" w:hAnsi="Times New Roman CYR" w:cs="Times New Roman CYR"/>
          <w:sz w:val="28"/>
          <w:szCs w:val="28"/>
        </w:rPr>
        <w:t xml:space="preserve"> - цена на дизельное топливо</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переменных в создании формулы на </w:t>
      </w:r>
      <w:proofErr w:type="gramStart"/>
      <w:r>
        <w:rPr>
          <w:rFonts w:ascii="Times New Roman CYR" w:hAnsi="Times New Roman CYR" w:cs="Times New Roman CYR"/>
          <w:sz w:val="28"/>
          <w:szCs w:val="28"/>
        </w:rPr>
        <w:t>прямую</w:t>
      </w:r>
      <w:proofErr w:type="gramEnd"/>
      <w:r>
        <w:rPr>
          <w:rFonts w:ascii="Times New Roman CYR" w:hAnsi="Times New Roman CYR" w:cs="Times New Roman CYR"/>
          <w:sz w:val="28"/>
          <w:szCs w:val="28"/>
        </w:rPr>
        <w:t xml:space="preserve"> зависит от типа энергии, с которым будет конкурировать газ. Именно по этому, в ценообразования к каждой стране имеет место быть индивидуальный подход.</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Объем, включая минимальный(m</w:t>
      </w:r>
      <w:r>
        <w:rPr>
          <w:rFonts w:ascii="Times New Roman CYR" w:hAnsi="Times New Roman CYR" w:cs="Times New Roman CYR"/>
          <w:sz w:val="28"/>
          <w:szCs w:val="28"/>
          <w:lang w:val="en-US"/>
        </w:rPr>
        <w:t>in</w:t>
      </w:r>
      <w:r>
        <w:rPr>
          <w:rFonts w:ascii="Times New Roman CYR" w:hAnsi="Times New Roman CYR" w:cs="Times New Roman CYR"/>
          <w:sz w:val="28"/>
          <w:szCs w:val="28"/>
        </w:rPr>
        <w:t>), максимальный(max) и средний Годовой Объем Контракта (</w:t>
      </w:r>
      <w:r>
        <w:rPr>
          <w:rFonts w:ascii="Times New Roman CYR" w:hAnsi="Times New Roman CYR" w:cs="Times New Roman CYR"/>
          <w:sz w:val="28"/>
          <w:szCs w:val="28"/>
          <w:lang w:val="en-US"/>
        </w:rPr>
        <w:t>ACQ</w:t>
      </w:r>
      <w:r>
        <w:rPr>
          <w:rFonts w:ascii="Times New Roman CYR" w:hAnsi="Times New Roman CYR" w:cs="Times New Roman CYR"/>
          <w:sz w:val="28"/>
          <w:szCs w:val="28"/>
        </w:rPr>
        <w:t>) и Ежедневный Объем Контракта (</w:t>
      </w:r>
      <w:r>
        <w:rPr>
          <w:rFonts w:ascii="Times New Roman CYR" w:hAnsi="Times New Roman CYR" w:cs="Times New Roman CYR"/>
          <w:sz w:val="28"/>
          <w:szCs w:val="28"/>
          <w:lang w:val="en-US"/>
        </w:rPr>
        <w:t>DCQ</w:t>
      </w:r>
      <w:r>
        <w:rPr>
          <w:rFonts w:ascii="Times New Roman CYR" w:hAnsi="Times New Roman CYR" w:cs="Times New Roman CYR"/>
          <w:sz w:val="28"/>
          <w:szCs w:val="28"/>
        </w:rPr>
        <w:t xml:space="preserve">). </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Объем Контракта (Annual Contract Quantity (ACQ)) - это объем газа, который должен поставить продавец, а покупатель должен принять за определенный год действия контракта. На практике многие контракты заключаются в формах, которые позволяют покупателю значительно уйти ниже заявленного ACQ.</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Ежедневный Объем Контрактов (</w:t>
      </w:r>
      <w:r>
        <w:rPr>
          <w:rFonts w:ascii="Times New Roman CYR" w:hAnsi="Times New Roman CYR" w:cs="Times New Roman CYR"/>
          <w:sz w:val="28"/>
          <w:szCs w:val="28"/>
          <w:lang w:val="en-US"/>
        </w:rPr>
        <w:t>Daily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Contract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Quantity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DCQ</w:t>
      </w:r>
      <w:r>
        <w:rPr>
          <w:rFonts w:ascii="Times New Roman CYR" w:hAnsi="Times New Roman CYR" w:cs="Times New Roman CYR"/>
          <w:sz w:val="28"/>
          <w:szCs w:val="28"/>
        </w:rPr>
        <w:t xml:space="preserve">)) - ежедневный объем газа, который определяется по формуле </w:t>
      </w:r>
      <w:r>
        <w:rPr>
          <w:rFonts w:ascii="Times New Roman CYR" w:hAnsi="Times New Roman CYR" w:cs="Times New Roman CYR"/>
          <w:sz w:val="28"/>
          <w:szCs w:val="28"/>
          <w:lang w:val="en-US"/>
        </w:rPr>
        <w:t>ACQ</w:t>
      </w:r>
      <w:r>
        <w:rPr>
          <w:rFonts w:ascii="Times New Roman CYR" w:hAnsi="Times New Roman CYR" w:cs="Times New Roman CYR"/>
          <w:sz w:val="28"/>
          <w:szCs w:val="28"/>
        </w:rPr>
        <w:t xml:space="preserve">/(количество дней в году). </w:t>
      </w:r>
      <w:proofErr w:type="gramStart"/>
      <w:r>
        <w:rPr>
          <w:rFonts w:ascii="Times New Roman CYR" w:hAnsi="Times New Roman CYR" w:cs="Times New Roman CYR"/>
          <w:sz w:val="28"/>
          <w:szCs w:val="28"/>
          <w:lang w:val="en-US"/>
        </w:rPr>
        <w:t>Min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ACQ</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max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ACQ</w:t>
      </w:r>
      <w:r>
        <w:rPr>
          <w:rFonts w:ascii="Times New Roman CYR" w:hAnsi="Times New Roman CYR" w:cs="Times New Roman CYR"/>
          <w:sz w:val="28"/>
          <w:szCs w:val="28"/>
        </w:rPr>
        <w:t xml:space="preserve"> соответствуют -10% и +10% от среднего показателя </w:t>
      </w:r>
      <w:r>
        <w:rPr>
          <w:rFonts w:ascii="Times New Roman CYR" w:hAnsi="Times New Roman CYR" w:cs="Times New Roman CYR"/>
          <w:sz w:val="28"/>
          <w:szCs w:val="28"/>
          <w:lang w:val="en-US"/>
        </w:rPr>
        <w:t>ACQ</w:t>
      </w:r>
      <w:r>
        <w:rPr>
          <w:rFonts w:ascii="Times New Roman CYR" w:hAnsi="Times New Roman CYR" w:cs="Times New Roman CYR"/>
          <w:sz w:val="28"/>
          <w:szCs w:val="28"/>
        </w:rPr>
        <w:t>.</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если </w:t>
      </w:r>
      <w:r>
        <w:rPr>
          <w:rFonts w:ascii="Times New Roman CYR" w:hAnsi="Times New Roman CYR" w:cs="Times New Roman CYR"/>
          <w:sz w:val="28"/>
          <w:szCs w:val="28"/>
          <w:lang w:val="en-US"/>
        </w:rPr>
        <w:t>DCQ</w:t>
      </w:r>
      <w:r>
        <w:rPr>
          <w:rFonts w:ascii="Times New Roman CYR" w:hAnsi="Times New Roman CYR" w:cs="Times New Roman CYR"/>
          <w:sz w:val="28"/>
          <w:szCs w:val="28"/>
        </w:rPr>
        <w:t xml:space="preserve"> считается как </w:t>
      </w:r>
      <w:r>
        <w:rPr>
          <w:rFonts w:ascii="Times New Roman CYR" w:hAnsi="Times New Roman CYR" w:cs="Times New Roman CYR"/>
          <w:sz w:val="28"/>
          <w:szCs w:val="28"/>
          <w:lang w:val="en-US"/>
        </w:rPr>
        <w:t>ACQ</w:t>
      </w:r>
      <w:r>
        <w:rPr>
          <w:rFonts w:ascii="Times New Roman CYR" w:hAnsi="Times New Roman CYR" w:cs="Times New Roman CYR"/>
          <w:sz w:val="28"/>
          <w:szCs w:val="28"/>
        </w:rPr>
        <w:t xml:space="preserve">/количество дней в году, то </w:t>
      </w:r>
      <w:r>
        <w:rPr>
          <w:rFonts w:ascii="Times New Roman CYR" w:hAnsi="Times New Roman CYR" w:cs="Times New Roman CYR"/>
          <w:sz w:val="28"/>
          <w:szCs w:val="28"/>
          <w:lang w:val="en-US"/>
        </w:rPr>
        <w:t>min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DCQ</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max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DCQ</w:t>
      </w:r>
      <w:r>
        <w:rPr>
          <w:rFonts w:ascii="Times New Roman CYR" w:hAnsi="Times New Roman CYR" w:cs="Times New Roman CYR"/>
          <w:sz w:val="28"/>
          <w:szCs w:val="28"/>
        </w:rPr>
        <w:t xml:space="preserve"> не считается, как </w:t>
      </w:r>
      <w:r>
        <w:rPr>
          <w:rFonts w:ascii="Times New Roman CYR" w:hAnsi="Times New Roman CYR" w:cs="Times New Roman CYR"/>
          <w:sz w:val="28"/>
          <w:szCs w:val="28"/>
          <w:lang w:val="en-US"/>
        </w:rPr>
        <w:t>min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ACQ</w:t>
      </w:r>
      <w:r>
        <w:rPr>
          <w:rFonts w:ascii="Times New Roman CYR" w:hAnsi="Times New Roman CYR" w:cs="Times New Roman CYR"/>
          <w:sz w:val="28"/>
          <w:szCs w:val="28"/>
        </w:rPr>
        <w:t xml:space="preserve">/количество дней в году или </w:t>
      </w:r>
      <w:r>
        <w:rPr>
          <w:rFonts w:ascii="Times New Roman CYR" w:hAnsi="Times New Roman CYR" w:cs="Times New Roman CYR"/>
          <w:sz w:val="28"/>
          <w:szCs w:val="28"/>
          <w:lang w:val="en-US"/>
        </w:rPr>
        <w:t>max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ACQ</w:t>
      </w:r>
      <w:r>
        <w:rPr>
          <w:rFonts w:ascii="Times New Roman CYR" w:hAnsi="Times New Roman CYR" w:cs="Times New Roman CYR"/>
          <w:sz w:val="28"/>
          <w:szCs w:val="28"/>
        </w:rPr>
        <w:t>/количество дней в году. Показатели m</w:t>
      </w:r>
      <w:r>
        <w:rPr>
          <w:rFonts w:ascii="Times New Roman CYR" w:hAnsi="Times New Roman CYR" w:cs="Times New Roman CYR"/>
          <w:sz w:val="28"/>
          <w:szCs w:val="28"/>
          <w:lang w:val="en-US"/>
        </w:rPr>
        <w:t>in</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max</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DCQ</w:t>
      </w:r>
      <w:r>
        <w:rPr>
          <w:rFonts w:ascii="Times New Roman CYR" w:hAnsi="Times New Roman CYR" w:cs="Times New Roman CYR"/>
          <w:sz w:val="28"/>
          <w:szCs w:val="28"/>
        </w:rPr>
        <w:t xml:space="preserve"> значительно отличаются друг от друга, в отличи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от аналогичных показателей </w:t>
      </w:r>
      <w:r>
        <w:rPr>
          <w:rFonts w:ascii="Times New Roman CYR" w:hAnsi="Times New Roman CYR" w:cs="Times New Roman CYR"/>
          <w:sz w:val="28"/>
          <w:szCs w:val="28"/>
          <w:lang w:val="en-US"/>
        </w:rPr>
        <w:t>ACQ</w:t>
      </w:r>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Условия пересмотра контракта</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этим понимаются условия, при которых повторные переговоры или перезаключение соглашений имеют место быть. К таким условиям можно отнести тот случай, когда соглашение престает быть выгодным будь то для покупателя или для продавца, в случаях, </w:t>
      </w:r>
      <w:proofErr w:type="gramStart"/>
      <w:r>
        <w:rPr>
          <w:rFonts w:ascii="Times New Roman CYR" w:hAnsi="Times New Roman CYR" w:cs="Times New Roman CYR"/>
          <w:sz w:val="28"/>
          <w:szCs w:val="28"/>
        </w:rPr>
        <w:t>когда</w:t>
      </w:r>
      <w:proofErr w:type="gramEnd"/>
      <w:r>
        <w:rPr>
          <w:rFonts w:ascii="Times New Roman CYR" w:hAnsi="Times New Roman CYR" w:cs="Times New Roman CYR"/>
          <w:sz w:val="28"/>
          <w:szCs w:val="28"/>
        </w:rPr>
        <w:t xml:space="preserve"> к примеру меняется цена. Это </w:t>
      </w:r>
      <w:r>
        <w:rPr>
          <w:rFonts w:ascii="Times New Roman CYR" w:hAnsi="Times New Roman CYR" w:cs="Times New Roman CYR"/>
          <w:sz w:val="28"/>
          <w:szCs w:val="28"/>
        </w:rPr>
        <w:lastRenderedPageBreak/>
        <w:t>говорит о гибкости долгосрочных контрактов, не смотря на свой характер.</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Основная причина, по которой заключаются такого рода контракты - отсутствие единого рынка, на котором можно управлять рисками, которые стороны пытаются избегать.</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долгосрочных контрактов базируется на трех следующих принципах:</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Ликвидность контрактов;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Цены на газ при заключении контрактов не должны </w:t>
      </w:r>
      <w:proofErr w:type="gramStart"/>
      <w:r>
        <w:rPr>
          <w:rFonts w:ascii="Times New Roman CYR" w:hAnsi="Times New Roman CYR" w:cs="Times New Roman CYR"/>
          <w:sz w:val="28"/>
          <w:szCs w:val="28"/>
        </w:rPr>
        <w:t>находится</w:t>
      </w:r>
      <w:proofErr w:type="gramEnd"/>
      <w:r>
        <w:rPr>
          <w:rFonts w:ascii="Times New Roman CYR" w:hAnsi="Times New Roman CYR" w:cs="Times New Roman CYR"/>
          <w:sz w:val="28"/>
          <w:szCs w:val="28"/>
        </w:rPr>
        <w:t xml:space="preserve"> под влиянием ни продавцов, ни покупателей, ни государства любой из сторон. Это важно как для покупателя, так и для продавца. Нельзя, чтобы одна из сторон выигрывала за счет другой стороны, манипулируя ценами.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Конкурентоспособность цен на рынке;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чтобы была возможность продавать газ, независимо от того в каких условиях находится рынок. Нельзя допускать ситуации, в которых у покупателя нет выбора, какой газ и по какой </w:t>
      </w:r>
      <w:proofErr w:type="gramStart"/>
      <w:r>
        <w:rPr>
          <w:rFonts w:ascii="Times New Roman CYR" w:hAnsi="Times New Roman CYR" w:cs="Times New Roman CYR"/>
          <w:sz w:val="28"/>
          <w:szCs w:val="28"/>
        </w:rPr>
        <w:t>цене</w:t>
      </w:r>
      <w:proofErr w:type="gramEnd"/>
      <w:r>
        <w:rPr>
          <w:rFonts w:ascii="Times New Roman CYR" w:hAnsi="Times New Roman CYR" w:cs="Times New Roman CYR"/>
          <w:sz w:val="28"/>
          <w:szCs w:val="28"/>
        </w:rPr>
        <w:t xml:space="preserve"> покупать, в которых у продавца нет возможности продавать газ.</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Защита инвестиций;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Инвестиции способствуют развитию газовой отрасли, а защита этих инвестиций напрямую способствует их привлечению. Чем больше гарантий у инвесторов вернуть инвестируемые активы, тем благоприятнее для них становятся проекты.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положительной стороне долгосрочных контрактов относится тот факт, что они дают покупателю определенные гарантии, согласно которым тот получит необходимый объем газа в необходимой ему перспективе, в то время как продавец получает гарантии сбыта, необходимые ему для привлечения инвесторов. Долгосрочным контрактам свойственна торговля через газопроводы, ввиду необходимости больших инвестиций в их реализацию.</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Спотовые контракты (рынок краткосрочных контрактов)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Спотовый рынок или рынок краткосрочных контрактов предусматривает наличие биржи, по итогам которой формируется цена на газ. Цена устанавливается только на краткосрочный период - от чего и происходит название рынка. Основные примеры - США и Великобритания.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спотовой торговле, нужно учитывать тот факт, что ввиду отсутствия такого фактора как гарантия уже сложившихся отношений, которая присутствует в долгосрочных контрактах между сторонами, делается больший акцент на необходимости большего капитала, не кредитования. Имеется </w:t>
      </w:r>
      <w:proofErr w:type="gramStart"/>
      <w:r>
        <w:rPr>
          <w:rFonts w:ascii="Times New Roman CYR" w:hAnsi="Times New Roman CYR" w:cs="Times New Roman CYR"/>
          <w:sz w:val="28"/>
          <w:szCs w:val="28"/>
        </w:rPr>
        <w:t>ввиду</w:t>
      </w:r>
      <w:proofErr w:type="gramEnd"/>
      <w:r>
        <w:rPr>
          <w:rFonts w:ascii="Times New Roman CYR" w:hAnsi="Times New Roman CYR" w:cs="Times New Roman CYR"/>
          <w:sz w:val="28"/>
          <w:szCs w:val="28"/>
        </w:rPr>
        <w:t xml:space="preserve"> именно </w:t>
      </w:r>
      <w:proofErr w:type="gramStart"/>
      <w:r>
        <w:rPr>
          <w:rFonts w:ascii="Times New Roman CYR" w:hAnsi="Times New Roman CYR" w:cs="Times New Roman CYR"/>
          <w:sz w:val="28"/>
          <w:szCs w:val="28"/>
        </w:rPr>
        <w:t>фактор</w:t>
      </w:r>
      <w:proofErr w:type="gramEnd"/>
      <w:r>
        <w:rPr>
          <w:rFonts w:ascii="Times New Roman CYR" w:hAnsi="Times New Roman CYR" w:cs="Times New Roman CYR"/>
          <w:sz w:val="28"/>
          <w:szCs w:val="28"/>
        </w:rPr>
        <w:t xml:space="preserve"> долгосрочности контракта, который формирует долгосрочные отношения между сторонами, что в свою очередь выступает некоторым гарантом для банков, выдающими кредит на тот или иной проект в рамках контракта.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 проблеме спотовой торговли стоит отнести фактор ненадежности. А именно - у покупателя нет гарантий того, что во время пикового потребления он получит необходимое ему количество газа. В то время как у продавца нет гарантии долгосрочного сбыта, что мешает полностью оценить перспективы развития. Непредсказуемость цен - одна из главных проблем спотовой торговли.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положительным свойствам спотовых контрактов относится их гибкость, поскольку краткосрочным контрактам свойственна торговля через морские пути танкерами, позволяя доставлять газ в любую точку, где есть порт, способный принять танкер.</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Ценообразование газа в России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ценообразование в Российской Федерации, стоит отметить, что изначально на внутреннем рынке цены на газ регулировались государством, которое формировало тарифную политику в газовой отрасли России, путем занижения тарифов для одной стороны и завышением для другой.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отойти от влияния государства на формирования цен в газовой </w:t>
      </w:r>
      <w:r>
        <w:rPr>
          <w:rFonts w:ascii="Times New Roman CYR" w:hAnsi="Times New Roman CYR" w:cs="Times New Roman CYR"/>
          <w:sz w:val="28"/>
          <w:szCs w:val="28"/>
        </w:rPr>
        <w:lastRenderedPageBreak/>
        <w:t>отрасли - было сформулировано два основных приоритета для формирования будущей системы ценообразования.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приоритет заключался </w:t>
      </w:r>
      <w:proofErr w:type="gramStart"/>
      <w:r>
        <w:rPr>
          <w:rFonts w:ascii="Times New Roman CYR" w:hAnsi="Times New Roman CYR" w:cs="Times New Roman CYR"/>
          <w:sz w:val="28"/>
          <w:szCs w:val="28"/>
        </w:rPr>
        <w:t>в переходе к либерализации оптовых цен на газ с сохранением регулирования тарифов на услуги</w:t>
      </w:r>
      <w:proofErr w:type="gramEnd"/>
      <w:r>
        <w:rPr>
          <w:rFonts w:ascii="Times New Roman CYR" w:hAnsi="Times New Roman CYR" w:cs="Times New Roman CYR"/>
          <w:sz w:val="28"/>
          <w:szCs w:val="28"/>
        </w:rPr>
        <w:t xml:space="preserve"> по его транспортировке, сроки на который определились на 2018 год. Для реализации этого перехода были введены пилотные проекты по либерализации рынка в некоторых регионах России. Результатом данного перехода предполагается появление системы, при которой цены на газ будут определяться на основе ценовых индикаторов по итогам биржевых торгов.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октябре 2014 года по поручению Президента Российской Федерации об организации торгов природным газом на Санкт-Перебургской международной товарно-сырьевой бирже (СПбМТСБ) был осуществлен запуск биржевой торговли газом. Где цены на газ определяются путем проведения организованных торгов и являются свободным, ввиду непрерывного сопоставления заявок на покупку и продажу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бирже существуют долгосрочная заявка и краткосрочная заявка. В рамках долгосрочной заявки, клиент регулирует поставки газа на месяц, а в рамках краткосрочной по дням, однако изначально в краткосрочной программе нельзя было учитывать выходные дни, что создавало рваный график потребления для клиентов, что в свою очередь затрудняло формирование поставок клиентами с учётом всех тонкостей. Довольно часто случался недобор газа клиентами, когда объем газа потребленный в определенный срок не совпадал с </w:t>
      </w:r>
      <w:proofErr w:type="gramStart"/>
      <w:r>
        <w:rPr>
          <w:rFonts w:ascii="Times New Roman CYR" w:hAnsi="Times New Roman CYR" w:cs="Times New Roman CYR"/>
          <w:sz w:val="28"/>
          <w:szCs w:val="28"/>
        </w:rPr>
        <w:t>заявленным</w:t>
      </w:r>
      <w:proofErr w:type="gramEnd"/>
      <w:r>
        <w:rPr>
          <w:rFonts w:ascii="Times New Roman CYR" w:hAnsi="Times New Roman CYR" w:cs="Times New Roman CYR"/>
          <w:sz w:val="28"/>
          <w:szCs w:val="28"/>
        </w:rPr>
        <w:t xml:space="preserve"> по договору, за что в свою очередь приходилось платить. Именно поэтому в 2016 году было принято решение о введении инструмента для продажи природного газа с поставкой на выходные и праздничные дни, что позволяло покупателям тщательнее и расчетливее регулировать свои заказы.</w:t>
      </w:r>
    </w:p>
    <w:p w:rsidR="002C65AC" w:rsidRDefault="002C65AC">
      <w:pPr>
        <w:widowControl w:val="0"/>
        <w:autoSpaceDE w:val="0"/>
        <w:autoSpaceDN w:val="0"/>
        <w:adjustRightInd w:val="0"/>
        <w:spacing w:after="0" w:line="360" w:lineRule="auto"/>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4597400"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167640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Поставки газа на СПбМТСБ за период октябрь 2015 г. - июль 2016 г.</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можно заметить, на бирже присутствуют три крупных поставщика газа, </w:t>
      </w:r>
      <w:proofErr w:type="gramStart"/>
      <w:r>
        <w:rPr>
          <w:rFonts w:ascii="Times New Roman CYR" w:hAnsi="Times New Roman CYR" w:cs="Times New Roman CYR"/>
          <w:sz w:val="28"/>
          <w:szCs w:val="28"/>
        </w:rPr>
        <w:t>поставки</w:t>
      </w:r>
      <w:proofErr w:type="gramEnd"/>
      <w:r>
        <w:rPr>
          <w:rFonts w:ascii="Times New Roman CYR" w:hAnsi="Times New Roman CYR" w:cs="Times New Roman CYR"/>
          <w:sz w:val="28"/>
          <w:szCs w:val="28"/>
        </w:rPr>
        <w:t xml:space="preserve"> которых достаточно сбалансированы в рамках биржи. Такая диверсификация выбора поставщика, создает конкурентоспособную среду, позволяя формировать справедливые цены.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второго приоритета была задана необходимость перехода от цен внутреннего рынка, которые формируются в рамках задаваемых правительством Российской Федерации пределов роста средних цен на газ, к ценам равной доходности между внешними и внутренними рынками.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Ожидалось, что равная доходность будет обеспечена по сравнению с Европейскими рынками с формированием цены нетбэк, под которой понимается экспортная цена за вычетом издержек по транспортировке и экспортных пошлин.</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Переход к принципу равной доходности напрямую сопряжен с увеличением внутренних цен на газ, что оказывает негативное воздействие на промышленность. Именно ввиду этого негативного воздействия темпы роста цен на газ были снижены до уровня 5-10%. Предполагалось, что ввиду этих факторов сроки реализации второго приоритета будут сильно сдвинуты. Однако, несмотря на это, в феврале 2016 года цены на газ в Российской Федерации все-таки достигли равной доходности. На тот момент </w:t>
      </w:r>
      <w:proofErr w:type="gramStart"/>
      <w:r>
        <w:rPr>
          <w:rFonts w:ascii="Times New Roman CYR" w:hAnsi="Times New Roman CYR" w:cs="Times New Roman CYR"/>
          <w:sz w:val="28"/>
          <w:szCs w:val="28"/>
        </w:rPr>
        <w:t>цены</w:t>
      </w:r>
      <w:proofErr w:type="gramEnd"/>
      <w:r>
        <w:rPr>
          <w:rFonts w:ascii="Times New Roman CYR" w:hAnsi="Times New Roman CYR" w:cs="Times New Roman CYR"/>
          <w:sz w:val="28"/>
          <w:szCs w:val="28"/>
        </w:rPr>
        <w:t xml:space="preserve"> на газ на внутреннем рынке превышали нетбэк-цены экспортных поставок.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несмотря на то, что это было </w:t>
      </w:r>
      <w:r>
        <w:rPr>
          <w:rFonts w:ascii="Times New Roman CYR" w:hAnsi="Times New Roman CYR" w:cs="Times New Roman CYR"/>
          <w:sz w:val="28"/>
          <w:szCs w:val="28"/>
        </w:rPr>
        <w:lastRenderedPageBreak/>
        <w:t>обусловлено значительным падением спотовых цен в Европе, нельзя не отметить, что был достигнут существенный прогресс как в реализации второго приоритета, так и в формировании будущей системы ценообразования.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ФСЭГ была принято решение создание “группы высокого уровня”, которая бы занималась контролем газового ценообразования, это был определенный шаг по созданию газового картеля. Однако решение было закреплено лишь на министерском уровне, что не является международным соглашением, что в свою очередь оставило реализацию этого проекта лишь на стадии планирования.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у ФСЭГ все также нет контроля над ценами, а страны участники занимаются ценообразованием индивидуально, выбирая существующие контракты и рынки.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стоить рассмотреть ценообразования некоторых </w:t>
      </w:r>
      <w:proofErr w:type="gramStart"/>
      <w:r>
        <w:rPr>
          <w:rFonts w:ascii="Times New Roman CYR" w:hAnsi="Times New Roman CYR" w:cs="Times New Roman CYR"/>
          <w:sz w:val="28"/>
          <w:szCs w:val="28"/>
        </w:rPr>
        <w:t>стран участников Форума Стран Экспортеров</w:t>
      </w:r>
      <w:proofErr w:type="gramEnd"/>
      <w:r>
        <w:rPr>
          <w:rFonts w:ascii="Times New Roman CYR" w:hAnsi="Times New Roman CYR" w:cs="Times New Roman CYR"/>
          <w:sz w:val="28"/>
          <w:szCs w:val="28"/>
        </w:rPr>
        <w:t xml:space="preserve"> Газа, играющих на рынке немаловажную роль.</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цены на газ в Иране формируется в условиях тарифов, которые выводятся специальной формулой, которая в свою очередь учитывает цены на газ в основных мировых торговых газовых биржах, таких как </w:t>
      </w:r>
      <w:r>
        <w:rPr>
          <w:rFonts w:ascii="Times New Roman CYR" w:hAnsi="Times New Roman CYR" w:cs="Times New Roman CYR"/>
          <w:sz w:val="28"/>
          <w:szCs w:val="28"/>
          <w:lang w:val="en-US"/>
        </w:rPr>
        <w:t>Henry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Hub</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Alberta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Hub</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NBP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Hub</w:t>
      </w:r>
      <w:r>
        <w:rPr>
          <w:rFonts w:ascii="Times New Roman CYR" w:hAnsi="Times New Roman CYR" w:cs="Times New Roman CYR"/>
          <w:sz w:val="28"/>
          <w:szCs w:val="28"/>
        </w:rPr>
        <w:t xml:space="preserve">. </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Катар в своей экспортной политике делает больший акцент в пользу долгосрочных контрактов. При этом Катар, совершая спотовые поставки СПГ на рынок Европы, сделал выбор в пользу снижения производства СПГ, ввиду решения перейти на рынок Южной Америки, где цены на сжиженный газ значительно выше европейских цен, что является более благоприятным условием торговли для Катара. </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ФСЭГ в рамках теории институционализма</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Институционализм - это подход к изучению экономики с наибольшим акцентом на анализе существующих институтов. Таким образом, данное направление образует большое количество различных теорий, согласно которым любое экономическое явление исследуется в тесной координации с другими процессами, которые формируются и создаются различными институтами, существующими в обществе, политическими, экономическими, социальными и т.д.  Основными сторонниками данной направления экономической мысли являлись Веблен, Кларк и Митчелл.</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стоит проанализировать основные положения теории институционализма и рассмотреть применение каждого ключевого из них на примере </w:t>
      </w:r>
      <w:proofErr w:type="gramStart"/>
      <w:r>
        <w:rPr>
          <w:rFonts w:ascii="Times New Roman CYR" w:hAnsi="Times New Roman CYR" w:cs="Times New Roman CYR"/>
          <w:sz w:val="28"/>
          <w:szCs w:val="28"/>
        </w:rPr>
        <w:t>деятельности Форума Стран Экспортеров Газа</w:t>
      </w:r>
      <w:proofErr w:type="gramEnd"/>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Фундаментальной концепцией теории институционализма является тот факт, что ее сторонники не разделяли тезис о методологическом индивидуализме как катализаторе деятельности экономических субъектов. Таким образом, институционалисты полагали, что любое совершаемое действие предопределяется самой экономикой, а не действующим субъектом самостоятельно, исходя из его собственных интересов. </w:t>
      </w:r>
      <w:proofErr w:type="gramStart"/>
      <w:r>
        <w:rPr>
          <w:rFonts w:ascii="Times New Roman CYR" w:hAnsi="Times New Roman CYR" w:cs="Times New Roman CYR"/>
          <w:sz w:val="28"/>
          <w:szCs w:val="28"/>
        </w:rPr>
        <w:t>Основываясь на том, что ФСЭГ создавался как устойчивая платформа для поддержания стабильного диалога по вопросам, касающимся газа, а также для обмена опытом и согласования наиболее важных решений на энергетической арене, можно сделать вывод, что ФСЭГ, как организация, предназначена не для реализации интересов отдельно взятой страны, а для создания общего прозрачного рынка энергии.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Так, любое решение, принятое членами ФСЭГ, а также любое действие, предпринятое организацией, отталкивается и будет отталкиваться не от персональных интересов стран-участниц, а будет являться общей, целесообразной и скоординированной реакцией на изменения в экономике в </w:t>
      </w:r>
      <w:r>
        <w:rPr>
          <w:rFonts w:ascii="Times New Roman CYR" w:hAnsi="Times New Roman CYR" w:cs="Times New Roman CYR"/>
          <w:sz w:val="28"/>
          <w:szCs w:val="28"/>
        </w:rPr>
        <w:lastRenderedPageBreak/>
        <w:t>целом и на колебания на энергетическом и газовом рынках в частности.</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базисной концепцией в теории институционализма является понятие об экономике как об эволюционирующей система, лишенной статики и стабильности.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Учитывая общий анализ мирового рынка газа, принимая во внимание состояние региональных газовых рынков, а также процесс ценообразования, нельзя не понимать, что на энергетический рынок, а также на газовый в частности, влияет не только установление цен на газ, но также наличие альтернативных энергетических источников, политическая ситуация в стране, колебания таких категорий, как спрос и предложение, и многие другие факторы, что приводит</w:t>
      </w:r>
      <w:proofErr w:type="gramEnd"/>
      <w:r>
        <w:rPr>
          <w:rFonts w:ascii="Times New Roman CYR" w:hAnsi="Times New Roman CYR" w:cs="Times New Roman CYR"/>
          <w:sz w:val="28"/>
          <w:szCs w:val="28"/>
        </w:rPr>
        <w:t xml:space="preserve"> к тому, что равновесие на рынке энергоносителей и на газовом рынке достигнуть невозможно.</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следует, что Форум Стран Экспортеров Газа как организация не может рассматривать экономику как систему, которой присуща статика, ввиду невыполнимости установления какой-либо стабильности на рынках газа, что полностью соответствует теории институционализма.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Важнейшей идеей экономистов-институционалистов была и мысль о допустимости государственного вмешательства в экономическую систему, 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они считали, что действия правительства скорее окажут благоприятное влияние на функционирование рыночной экономики, чем отразятся негативно или даже разрушительно.</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категория находится в соответствии с отдельными газовыми рынками стран-участниц ФСЭГ, что можно проиллюстрировать и на примере Российской Федерации в частности. Так, публичное акционерное общество «Газпром» является монопольной энергетической корпорацией на энергетическом рынке России, 50% акций которой регулируется государством. Ввиду этого правительство участвует в формировании цен на газ, то есть прямым </w:t>
      </w:r>
      <w:r>
        <w:rPr>
          <w:rFonts w:ascii="Times New Roman CYR" w:hAnsi="Times New Roman CYR" w:cs="Times New Roman CYR"/>
          <w:sz w:val="28"/>
          <w:szCs w:val="28"/>
        </w:rPr>
        <w:lastRenderedPageBreak/>
        <w:t xml:space="preserve">образом вмешивается в рыночную экономику. </w:t>
      </w:r>
      <w:proofErr w:type="gramStart"/>
      <w:r>
        <w:rPr>
          <w:rFonts w:ascii="Times New Roman CYR" w:hAnsi="Times New Roman CYR" w:cs="Times New Roman CYR"/>
          <w:sz w:val="28"/>
          <w:szCs w:val="28"/>
        </w:rPr>
        <w:t>Если принимать во внимание идею институционалистов о том, что продемонстрированное вторжение должно оказывать положительное влияние на экономику российского государства, то стоит отметить такие факты, как продвижение правительством проектов, предлагаемых «Газпромом», а также их финансовая поддержка путем различных инвестиционных потоков, кроме того, возможны разного рода налоговые послабления в тяжелые кризисные периоды или для содействия в проведении каких-либо программ.</w:t>
      </w:r>
      <w:proofErr w:type="gramEnd"/>
      <w:r>
        <w:rPr>
          <w:rFonts w:ascii="Times New Roman CYR" w:hAnsi="Times New Roman CYR" w:cs="Times New Roman CYR"/>
          <w:sz w:val="28"/>
          <w:szCs w:val="28"/>
        </w:rPr>
        <w:t xml:space="preserve"> Следовательно, концепция институционалистов о возможности потенциального вмешательства государства в экономику тоже корреспондируется с функционированием </w:t>
      </w:r>
      <w:proofErr w:type="gramStart"/>
      <w:r>
        <w:rPr>
          <w:rFonts w:ascii="Times New Roman CYR" w:hAnsi="Times New Roman CYR" w:cs="Times New Roman CYR"/>
          <w:sz w:val="28"/>
          <w:szCs w:val="28"/>
        </w:rPr>
        <w:t>организации Форума Стран Экспортеров Газа</w:t>
      </w:r>
      <w:proofErr w:type="gramEnd"/>
      <w:r>
        <w:rPr>
          <w:rFonts w:ascii="Times New Roman CYR" w:hAnsi="Times New Roman CYR" w:cs="Times New Roman CYR"/>
          <w:sz w:val="28"/>
          <w:szCs w:val="28"/>
        </w:rPr>
        <w:t>.</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параметров теории институционализма является и принцип отказа от идеи максимизации как основы для действий субъектов, то есть экономисты-институционалисты признавали, что далеко не всегда субъекты стремятся достигнуть полного максимизирования своей полезности.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черта коррелируется с функционированием организации ФСЭГ. Несмотря на то, что Форум Стран Экспортеров Газа изначально создавался как платформа для ведения диалога и вследствие этого нахождения консенсуса в решении противоречивых вопросов, пока организация ограничивается только развитием взаимопонимания и выставлением на повестку проблем первостепенной важности. </w:t>
      </w:r>
      <w:proofErr w:type="gramStart"/>
      <w:r>
        <w:rPr>
          <w:rFonts w:ascii="Times New Roman CYR" w:hAnsi="Times New Roman CYR" w:cs="Times New Roman CYR"/>
          <w:sz w:val="28"/>
          <w:szCs w:val="28"/>
        </w:rPr>
        <w:t>До сегодняшнего момента ФСЭГ не удавалось прийти к абсолютному взаимопониманию по какому-либо из обсуждаемых вопросов для того, чтобы предпринять решающие действия для максимизации своей выгоды.</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того, институционалисты отмечали важность рассмотрения экономики не как абстрагированной и абсолютно самостоятельно функционирующей системы, а именно во взаимосвязи со смежными сферами жизни общества, как с политической, так и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социальной, этической и правовой. </w:t>
      </w:r>
      <w:r>
        <w:rPr>
          <w:rFonts w:ascii="Times New Roman CYR" w:hAnsi="Times New Roman CYR" w:cs="Times New Roman CYR"/>
          <w:sz w:val="28"/>
          <w:szCs w:val="28"/>
        </w:rPr>
        <w:lastRenderedPageBreak/>
        <w:t>Именно на этом принципе основывается методология институционализма как направления экономической мысли.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аспект </w:t>
      </w:r>
      <w:proofErr w:type="gramStart"/>
      <w:r>
        <w:rPr>
          <w:rFonts w:ascii="Times New Roman CYR" w:hAnsi="Times New Roman CYR" w:cs="Times New Roman CYR"/>
          <w:sz w:val="28"/>
          <w:szCs w:val="28"/>
        </w:rPr>
        <w:t>соответствует</w:t>
      </w:r>
      <w:proofErr w:type="gramEnd"/>
      <w:r>
        <w:rPr>
          <w:rFonts w:ascii="Times New Roman CYR" w:hAnsi="Times New Roman CYR" w:cs="Times New Roman CYR"/>
          <w:sz w:val="28"/>
          <w:szCs w:val="28"/>
        </w:rPr>
        <w:t xml:space="preserve"> и деятельности организации ФСЭГ и согласуется с функционированием всего газового рынка в целом. Газовая отрасль слишком нестабильна, ввиду того, что подвержена влиянию многочисленного набора различных факторов. Любое предпринятое решение в сфере энергетической политики, в отношении защиты окружающей среды может вызвать колебания на рынке газа. </w:t>
      </w:r>
      <w:proofErr w:type="gramStart"/>
      <w:r>
        <w:rPr>
          <w:rFonts w:ascii="Times New Roman CYR" w:hAnsi="Times New Roman CYR" w:cs="Times New Roman CYR"/>
          <w:sz w:val="28"/>
          <w:szCs w:val="28"/>
        </w:rPr>
        <w:t>Кроме того, стоит помнить о том, что экономика рассматривается как эволюционирующая система, а значит, модернизирующаяся и инновационная: в современном мире наука не стоит на месте, следовательно, в век глобальной озабоченности проблемой исчерпаемости природных ресурсов, в любой момент может быть изобретен новый энергоноситель или может быть обнаружено новое топливо, что незамедлительно вызовет масштабные колебания на рынке энергетики и газа в частности</w:t>
      </w:r>
      <w:proofErr w:type="gramEnd"/>
      <w:r>
        <w:rPr>
          <w:rFonts w:ascii="Times New Roman CYR" w:hAnsi="Times New Roman CYR" w:cs="Times New Roman CYR"/>
          <w:sz w:val="28"/>
          <w:szCs w:val="28"/>
        </w:rPr>
        <w:t xml:space="preserve">. Таким образом, </w:t>
      </w:r>
      <w:proofErr w:type="gramStart"/>
      <w:r>
        <w:rPr>
          <w:rFonts w:ascii="Times New Roman CYR" w:hAnsi="Times New Roman CYR" w:cs="Times New Roman CYR"/>
          <w:sz w:val="28"/>
          <w:szCs w:val="28"/>
        </w:rPr>
        <w:t>любой вопрос, обсуждаемый в рамках всех проводимых саммитов не может</w:t>
      </w:r>
      <w:proofErr w:type="gramEnd"/>
      <w:r>
        <w:rPr>
          <w:rFonts w:ascii="Times New Roman CYR" w:hAnsi="Times New Roman CYR" w:cs="Times New Roman CYR"/>
          <w:sz w:val="28"/>
          <w:szCs w:val="28"/>
        </w:rPr>
        <w:t xml:space="preserve"> рассматриваться в изоляции от ситуации в мире и без учета глобальных политических, климатических и научных тенденций.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Одну из центральных ролей в институционализме, как направлении экономической мысли, играет и признание невозможности или особой сложности составления каких-либо прогнозов. </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Суммируя все выше сказанное, становится очевидным, что и данный фактор согласуется с деятельностью </w:t>
      </w:r>
      <w:proofErr w:type="gramStart"/>
      <w:r>
        <w:rPr>
          <w:rFonts w:ascii="Times New Roman CYR" w:hAnsi="Times New Roman CYR" w:cs="Times New Roman CYR"/>
          <w:sz w:val="28"/>
          <w:szCs w:val="28"/>
        </w:rPr>
        <w:t>организации Форума Стран Экспортеров Газа</w:t>
      </w:r>
      <w:proofErr w:type="gramEnd"/>
      <w:r>
        <w:rPr>
          <w:rFonts w:ascii="Times New Roman CYR" w:hAnsi="Times New Roman CYR" w:cs="Times New Roman CYR"/>
          <w:sz w:val="28"/>
          <w:szCs w:val="28"/>
        </w:rPr>
        <w:t xml:space="preserve"> и, более того, составляет для него наибольшую сложность. Именно тот факт, что на газовую отрасль влияет слишком много внешних факторов, не может позволить предпринимать странам-членам организации какие-либо кардинальные долгосрочные реформы или даже проекты. Любая реализуемая программа подразумевает под собой огромные риски. Кроме того, как уже </w:t>
      </w:r>
      <w:r>
        <w:rPr>
          <w:rFonts w:ascii="Times New Roman CYR" w:hAnsi="Times New Roman CYR" w:cs="Times New Roman CYR"/>
          <w:sz w:val="28"/>
          <w:szCs w:val="28"/>
        </w:rPr>
        <w:lastRenderedPageBreak/>
        <w:t>упоминалось, конкурентные энергоносители и новые технологии могут в любой момент вытеснить уже существующие. Более того, кроме реформ в отношении защиты окружающей среды, изменяющиеся климатические условия тоже несут риски для газовой отрасли, ввиду того, что потребление населением энергии напрямую зависит от погоды в том или ином регионе.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Нельзя не сакцентировать внимание и на том факте, что в теории институционализма особая роль отводится международным организациям, обращая внимания на то, что они оказывают значимое влияние на разрешения противоречий, являясь своего рода площадкой для ведения диалога и постановления решений.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концепции институционализма Форум Стран Экспортеров Газа является ценным инструментом для построения стабильных взаимоотношений по обсуждению вопросов, связанных с газовой отраслью.</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Перспективы развития ФСЭГ в сотрудничестве с Россией на мировом газовом рынке</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Глобальные перспективы газовой отрасли</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речь заходит о прогнозах, первое, что должно быть отмечено, это то, что делая какой-либо прогноз, нельзя быть в нем полностью уверенным. Прогноз - это анализ прошлых тенденций и влияния определенных факторов, с целью создать предполагаемую цепочку развития событий основываясь на этом анализе.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будущем отрасли газа в мире, всплывают множество факторов, имеющих свое определенное прямое или косвенное воздействие на развитие этой отрасли. Одним из таких факторов является </w:t>
      </w:r>
      <w:proofErr w:type="gramStart"/>
      <w:r>
        <w:rPr>
          <w:rFonts w:ascii="Times New Roman CYR" w:hAnsi="Times New Roman CYR" w:cs="Times New Roman CYR"/>
          <w:sz w:val="28"/>
          <w:szCs w:val="28"/>
        </w:rPr>
        <w:t>глобальное</w:t>
      </w:r>
      <w:proofErr w:type="gramEnd"/>
      <w:r>
        <w:rPr>
          <w:rFonts w:ascii="Times New Roman CYR" w:hAnsi="Times New Roman CYR" w:cs="Times New Roman CYR"/>
          <w:sz w:val="28"/>
          <w:szCs w:val="28"/>
        </w:rPr>
        <w:t xml:space="preserve"> ВВП в мире, который в перспективе до 2035 года имеет тенденцию быстрого роста в размере примерно 3,5% в год. Что в свою очередь сопряженно с несколькими ключевыми факторами. А именно - это рост населения и повышения продуктивности.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Ожидается, что около 2 млрд. людей перейдут из сектора низкой доходности в сектор средней доходности, что будет являться основным драйвером в секторе энергетики.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прогнозируется повышение продуктивности в таких странах как Индия и Китай. Это в свою очередь связано с повышением уровня капитала, начинают использоваться передовые технологии, передовую практику производства, что приводит к росту производства и непосредственно росту ВВП и экономическому процветанию.</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растущему среднему классу и повышению продуктивности, предполагается, что ро</w:t>
      </w:r>
      <w:proofErr w:type="gramStart"/>
      <w:r>
        <w:rPr>
          <w:rFonts w:ascii="Times New Roman CYR" w:hAnsi="Times New Roman CYR" w:cs="Times New Roman CYR"/>
          <w:sz w:val="28"/>
          <w:szCs w:val="28"/>
        </w:rPr>
        <w:t>ст спр</w:t>
      </w:r>
      <w:proofErr w:type="gramEnd"/>
      <w:r>
        <w:rPr>
          <w:rFonts w:ascii="Times New Roman CYR" w:hAnsi="Times New Roman CYR" w:cs="Times New Roman CYR"/>
          <w:sz w:val="28"/>
          <w:szCs w:val="28"/>
        </w:rPr>
        <w:t>оса к 2035 году вырастет на 30%. Однако в основном растущий спрос будет приходиться на развивающиещиеся страны.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 менее важную роль в будущем газа играют конкурентые источники энергии. Такие как уголь и возобновляемые источники энергии. С учетом продолжения тенденции декарбонизации энергобаланса, перспектива альтернативных источников энергии очевидна, но не в таком краткосрочном периоде.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Считается, что с растущей конкурентноспособностью ветряных мельниц и солнечных электростанций, потребление биотоплива, энергии солнца и ветра должно вырасти почти в 4 раза.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пользу постепенного выхода </w:t>
      </w:r>
      <w:proofErr w:type="gramStart"/>
      <w:r>
        <w:rPr>
          <w:rFonts w:ascii="Times New Roman CYR" w:hAnsi="Times New Roman CYR" w:cs="Times New Roman CYR"/>
          <w:sz w:val="28"/>
          <w:szCs w:val="28"/>
        </w:rPr>
        <w:t>электро энергии</w:t>
      </w:r>
      <w:proofErr w:type="gramEnd"/>
      <w:r>
        <w:rPr>
          <w:rFonts w:ascii="Times New Roman CYR" w:hAnsi="Times New Roman CYR" w:cs="Times New Roman CYR"/>
          <w:sz w:val="28"/>
          <w:szCs w:val="28"/>
        </w:rPr>
        <w:t xml:space="preserve"> на первый план так же говорит и постепенная элетрофикации транспортного сектора. А именно - увеличение объема электромобилей с 1 млн. почти до 100 млн., имея тенденцию роста в 25% в год. Это окажет серьезный эффект на нефтяную отрасль, однако опять же не в краткосрочном периоде.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пользу нефти, в этом случае играет тот факт, что объем всех машин к 2035 году удвоится, поэтому эффект электрофикации именно в 2035 года будет не так чувствителен.</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Нефть, хоть идет тенденция отвязки цен на газ с нефтью, все еще имеет свое влияние на газовом рынке. Говоря о спросе на нефть к 2035 году, стоит сказать, что темп роста будет падать, так как основную часть роста занимает именно транспортный сектор, а именно порядка 65%. Падение связано с повышением энергоэффективности транспортных средств.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считается, что транспорт будет становиться все меньшим двигателем спроса на нефть. А основным драйвером станет несгораемое использование нефти, а именно в качестве сырья. Говорить о том, как это скажется на газовой отрасли пока рано, для этого важно знать, какую роль будет играть нефть в ценообразовании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транспортном секторе, стоит так же упомянуть и о тенденции </w:t>
      </w:r>
      <w:r>
        <w:rPr>
          <w:rFonts w:ascii="Times New Roman CYR" w:hAnsi="Times New Roman CYR" w:cs="Times New Roman CYR"/>
          <w:sz w:val="28"/>
          <w:szCs w:val="28"/>
        </w:rPr>
        <w:lastRenderedPageBreak/>
        <w:t xml:space="preserve">газификации транспорта. Что подразумевает задействование СПГ в транспортировке. В основном это касается автомобилей, поездов и морских судов. Такая тенденция активно продвигается в таких странах как Китай, Испания и Франция. Каждая из стран внесла свой определенный вклад в развитие этой тенденции, но больший вклад идет определенно за Китаем, который уже использует порядка 300 000 автомобилей на СПГ, в Испании к сравнению пока только 400. </w:t>
      </w:r>
      <w:proofErr w:type="gramStart"/>
      <w:r>
        <w:rPr>
          <w:rFonts w:ascii="Times New Roman CYR" w:hAnsi="Times New Roman CYR" w:cs="Times New Roman CYR"/>
          <w:sz w:val="28"/>
          <w:szCs w:val="28"/>
        </w:rPr>
        <w:t>Франция</w:t>
      </w:r>
      <w:proofErr w:type="gramEnd"/>
      <w:r>
        <w:rPr>
          <w:rFonts w:ascii="Times New Roman CYR" w:hAnsi="Times New Roman CYR" w:cs="Times New Roman CYR"/>
          <w:sz w:val="28"/>
          <w:szCs w:val="28"/>
        </w:rPr>
        <w:t xml:space="preserve"> в свою очередь уже имея порядка 10 автомобильных заправок СПГ по всей стране, пытается продвигать идею локомотивов на СПГ.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актуальность этой идеи есть только для стран, где еще нет элекрифицированных локомотивов. Нельзя не сказать также и о налаживание серийной разработки тепловоза ТЭМ19-001, который работает на СПГ. Стоит отметить, что конечно это все пока достаточно незначительные цифры, но начало тенденции положено, а это уже достаточно большой шаг.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угля, он представляет меньшую угрозу газовой отрасли, так как спрос на него постепенно снижается. Не имеется </w:t>
      </w:r>
      <w:proofErr w:type="gramStart"/>
      <w:r>
        <w:rPr>
          <w:rFonts w:ascii="Times New Roman CYR" w:hAnsi="Times New Roman CYR" w:cs="Times New Roman CYR"/>
          <w:sz w:val="28"/>
          <w:szCs w:val="28"/>
        </w:rPr>
        <w:t>ввиду</w:t>
      </w:r>
      <w:proofErr w:type="gramEnd"/>
      <w:r>
        <w:rPr>
          <w:rFonts w:ascii="Times New Roman CYR" w:hAnsi="Times New Roman CYR" w:cs="Times New Roman CYR"/>
          <w:sz w:val="28"/>
          <w:szCs w:val="28"/>
        </w:rPr>
        <w:t xml:space="preserve">, что </w:t>
      </w:r>
      <w:proofErr w:type="gramStart"/>
      <w:r>
        <w:rPr>
          <w:rFonts w:ascii="Times New Roman CYR" w:hAnsi="Times New Roman CYR" w:cs="Times New Roman CYR"/>
          <w:sz w:val="28"/>
          <w:szCs w:val="28"/>
        </w:rPr>
        <w:t>спрос</w:t>
      </w:r>
      <w:proofErr w:type="gramEnd"/>
      <w:r>
        <w:rPr>
          <w:rFonts w:ascii="Times New Roman CYR" w:hAnsi="Times New Roman CYR" w:cs="Times New Roman CYR"/>
          <w:sz w:val="28"/>
          <w:szCs w:val="28"/>
        </w:rPr>
        <w:t xml:space="preserve"> в дальнейшем будет падать, говориться именно о тенденции роста, которая снижается именно из-за развития газовой отрасли и чистой энергии. На спросе на уголь сказывается постепенный переход Китая от энергоэнтенсивного промышленного сектора к росту потребительского сектора, который менее энергозатратный, что выливается в </w:t>
      </w:r>
      <w:proofErr w:type="gramStart"/>
      <w:r>
        <w:rPr>
          <w:rFonts w:ascii="Times New Roman CYR" w:hAnsi="Times New Roman CYR" w:cs="Times New Roman CYR"/>
          <w:sz w:val="28"/>
          <w:szCs w:val="28"/>
        </w:rPr>
        <w:t>резкое</w:t>
      </w:r>
      <w:proofErr w:type="gramEnd"/>
      <w:r>
        <w:rPr>
          <w:rFonts w:ascii="Times New Roman CYR" w:hAnsi="Times New Roman CYR" w:cs="Times New Roman CYR"/>
          <w:sz w:val="28"/>
          <w:szCs w:val="28"/>
        </w:rPr>
        <w:t xml:space="preserve"> падения потребления угля в Китае. О тенденции прекращения роста говорит также и закрытие нескольких угольных фабрик в Великобритании. Прогнозируется, что темп роста угля снизится на 5%.</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важным внешним факторам влияния на вектор развития газовой отрасли стоит также отнести следующие факторы - климатический изменения, климатическую политику и политическую реакцию на нее. Ожидается ужесточение политики.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понимать, что существенные ограничения на развитие газовой </w:t>
      </w:r>
      <w:r>
        <w:rPr>
          <w:rFonts w:ascii="Times New Roman CYR" w:hAnsi="Times New Roman CYR" w:cs="Times New Roman CYR"/>
          <w:sz w:val="28"/>
          <w:szCs w:val="28"/>
        </w:rPr>
        <w:lastRenderedPageBreak/>
        <w:t>отрасли накладываются и климатическими условиями регионов, а также и прогнозируемыми изменениями окружающей среды.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Росстат, приблизительно 75% всей добычи газа в Российской Федерации приходится на регионы с неблагоприятными природными условиями. Таким образом, любая формирующаяся тенденция в пользу похолодания или потепления общего климатического фона на местности накладывает дополнительные сложности на процесс добычи газа, а также делает более уязвимыми сами газопроводы.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Нельзя не отметить, что большая часть месторождений на территории России сосредоточена в районах вечной мерзлоты, Ямал, Гыдань. Ввиду данного факты необходимо учитывать не только глобальные климатические изменения, но и разного рода экстремальные погодные феномены краткого цикла.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из названных явлений влечет за собой серьезные последствия для функционирования газовой отрасли в отдельных регионах, осложняет процесс добычи, транспортировки газа, замедляет отработанный цикл производства.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уже зафиксированы случаи заводнения участков, по которым проходят газопроводы, ввиду чего следует всплытие труб, в отдельно взятых экстремальных ситуациях газопровод изнашивается, а сильный ветер может раздувать земляные и песчаные насыпи, служащие базой для газопроводов.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и важность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безопасностью на любой из энергетических отраслей, в том числе и на рынке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Поддержание стабильной защищенности и безвредности также накладывает определенные ограничения на функционирование газовой отрасли, ввиду того, что требует особой осторожности и аккуратности. Так, к примеру, на территории Российской Федерации, в Сибири, ежегодно происходит около 35 тысяч разного рода аварий газопроводов, что в первую очередь связано, как уже </w:t>
      </w:r>
      <w:r>
        <w:rPr>
          <w:rFonts w:ascii="Times New Roman CYR" w:hAnsi="Times New Roman CYR" w:cs="Times New Roman CYR"/>
          <w:sz w:val="28"/>
          <w:szCs w:val="28"/>
        </w:rPr>
        <w:lastRenderedPageBreak/>
        <w:t>говорилось выше, с климатическими изменениями, с деформацией земли и вследствие опоры для газопровода.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увеличивается и ответственность принятия конструктивных решений по устранению образовавшихся аварий. Известны случаи, когда установленные временные опоры дополнительной поддержки газовых труб, закрепленные в неправильных местах, становились причиной локальных наводнений, оползней и еще большей эрозии почвы, что подчеркивает необходимость учета всех уже существующих и прогнозируемых климатических условий.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стоит отметить, что нельзя рассматривать влияние окружающей среды на газовую отрасль в одностороннем порядке: газовая промышленность также оказывает неблагоприятное воздействие на природу.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Велика роль именно механического воздействия газовой отрасли на окружающую среду. В наибольшей степени это выражается в разрушении слоя почв, а именно: изменение или полное разрушение растительного покровы, модификация рельефа и существующих ландшафтов. Конечно, также в разы ухудшается качество почв, по которым прокладываются газопроводы, уничтожаются культуры, сформировавшиеся на конкретной местности.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любое негативное воздействие на окружающую среду имеет комплексный характер, что позволяет сделать вывод о том, что функционирование газовой промышленности загрязняет и атмосферу, путем выбросов газопродуктов, чаще всего из-за различного рода аварий и радиаций. Как и многие другие виды промышленности, газовая отрасль не отличается утилизацией образуемых отходов, которые через всевозможные стоки загрязняют реки и другие водные объекты.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до определенного момента обратное влияние газовой отрасли на окружающую среду не накладывает прямых ограничений на ее </w:t>
      </w:r>
      <w:r>
        <w:rPr>
          <w:rFonts w:ascii="Times New Roman CYR" w:hAnsi="Times New Roman CYR" w:cs="Times New Roman CYR"/>
          <w:sz w:val="28"/>
          <w:szCs w:val="28"/>
        </w:rPr>
        <w:lastRenderedPageBreak/>
        <w:t xml:space="preserve">функционирование, то всегда нужно принимать во внимание текущие тенденции мировой климатической политики и осознавать наиболее острые вопросы озабоченности мирового сообщества. Имеется </w:t>
      </w:r>
      <w:proofErr w:type="gramStart"/>
      <w:r>
        <w:rPr>
          <w:rFonts w:ascii="Times New Roman CYR" w:hAnsi="Times New Roman CYR" w:cs="Times New Roman CYR"/>
          <w:sz w:val="28"/>
          <w:szCs w:val="28"/>
        </w:rPr>
        <w:t>ввиду</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тот</w:t>
      </w:r>
      <w:proofErr w:type="gramEnd"/>
      <w:r>
        <w:rPr>
          <w:rFonts w:ascii="Times New Roman CYR" w:hAnsi="Times New Roman CYR" w:cs="Times New Roman CYR"/>
          <w:sz w:val="28"/>
          <w:szCs w:val="28"/>
        </w:rPr>
        <w:t xml:space="preserve"> факт, что любой вред природе может наноситься до тех пор, пока на него не обратили должное внимание, пока не были предприняты всеобщие меры по устранению любого рода негативного воздействия.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может послужить Парижское соглашение, подписанное в 2016 году в рамках Рамочной конвенц</w:t>
      </w:r>
      <w:proofErr w:type="gramStart"/>
      <w:r>
        <w:rPr>
          <w:rFonts w:ascii="Times New Roman CYR" w:hAnsi="Times New Roman CYR" w:cs="Times New Roman CYR"/>
          <w:sz w:val="28"/>
          <w:szCs w:val="28"/>
        </w:rPr>
        <w:t>ии ОО</w:t>
      </w:r>
      <w:proofErr w:type="gramEnd"/>
      <w:r>
        <w:rPr>
          <w:rFonts w:ascii="Times New Roman CYR" w:hAnsi="Times New Roman CYR" w:cs="Times New Roman CYR"/>
          <w:sz w:val="28"/>
          <w:szCs w:val="28"/>
        </w:rPr>
        <w:t>Н об изменении климата. Вместо Киотского протокола это соглашение призвано регулировать выбросы углекислого газа в атмосферу для поддержания глобального роста температуры на уровне 1,5 °C - 2 °C.</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соглашение в первую очередь выгодно тем организациям, производство которых основано на обновленной технологической базе без задействования исчерпаемых природных ресурсов.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конкретно данное соглашение, существенным образом затрагивает развитие угольной промышленности, радикальным способом приостанавливая все проекты, связанные с углем. Выбросы от угольных электростанций слишком велики, ввиду чего уже сейчас мировые инвесторы прекращают вкладывать деньги в развитие данной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Конечно, реформа такого рода скорее скажется на газовой отрасли позитивно в краткосрочном периоде, чем негативно, ведь, во-первых, выбросы от газовых предприятий в несколько раз меньше, чем от аналогичных угольных, а во-вторых, уголь - альтернативный и конкурентный по отношению к газу источник энергии, чья роль на мировой арене будет постепенно снижаться.</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данный опыт только указывает на то, что экологи продолжают обращать внимание мирового сообщества на проблему загрязнения окружающей среды, призывая инвестировать больше в развитие технологий и в продвижение </w:t>
      </w:r>
      <w:r>
        <w:rPr>
          <w:rFonts w:ascii="Times New Roman CYR" w:hAnsi="Times New Roman CYR" w:cs="Times New Roman CYR"/>
          <w:sz w:val="28"/>
          <w:szCs w:val="28"/>
        </w:rPr>
        <w:lastRenderedPageBreak/>
        <w:t>использования возобновляемых источников энергии, что в какой-то момент никак не обойдет и газовую отрасль.</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внутренних факторах развития газовой отрасли в перспективе до 2035 года, огромная доля приходится на СПГ. </w:t>
      </w:r>
      <w:proofErr w:type="gramStart"/>
      <w:r>
        <w:rPr>
          <w:rFonts w:ascii="Times New Roman CYR" w:hAnsi="Times New Roman CYR" w:cs="Times New Roman CYR"/>
          <w:sz w:val="28"/>
          <w:szCs w:val="28"/>
        </w:rPr>
        <w:t>Производителями</w:t>
      </w:r>
      <w:proofErr w:type="gramEnd"/>
      <w:r>
        <w:rPr>
          <w:rFonts w:ascii="Times New Roman CYR" w:hAnsi="Times New Roman CYR" w:cs="Times New Roman CYR"/>
          <w:sz w:val="28"/>
          <w:szCs w:val="28"/>
        </w:rPr>
        <w:t xml:space="preserve"> которого являются Австралия, Катар, США, Алжир, Малайзия и Россия. Основными лидерами по объему мощностей зжиженного газа являются Катар, Австралия и США. А основными покупателями - Азия, Центральная и Южная Америка и Европа.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Ожидается серьезный рост наращивания мощностей СПГ, особенно среди лидурующих стран. Таким образом, к 2021 году Австралия планирует почти утроить свой объем мощностей СПГ, введя порядка 54 млн. тонн в год, что сделает ее лидером, опередив Катар.</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FC1561">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937000" cy="3048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7000" cy="3048000"/>
                    </a:xfrm>
                    <a:prstGeom prst="rect">
                      <a:avLst/>
                    </a:prstGeom>
                    <a:noFill/>
                    <a:ln>
                      <a:noFill/>
                    </a:ln>
                  </pic:spPr>
                </pic:pic>
              </a:graphicData>
            </a:graphic>
          </wp:inline>
        </w:drawing>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Показатели производства СПГ по странам мира 2016 г., прогноз на 2021 г.</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Преимущество СПГ над природным газом заключается в мобильности, а </w:t>
      </w:r>
      <w:r>
        <w:rPr>
          <w:rFonts w:ascii="Times New Roman CYR" w:hAnsi="Times New Roman CYR" w:cs="Times New Roman CYR"/>
          <w:sz w:val="28"/>
          <w:szCs w:val="28"/>
        </w:rPr>
        <w:lastRenderedPageBreak/>
        <w:t>именно в возможности поставки газа в любую точку Земли, позволяя своевременно реагировать на шоки.</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Прогнозы на газовую отрасль РФ и стран-членов ФСЭГ</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Поднимая тему перспектив газового сектора в России, в первую очередь надо рассматривать реализуемые и запланированные проекты, которые планируются к реализации в будущем, либо уже реализуются.</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запланированным проектам относятся: «Арктик СПГ-2», «Печора СПГ», расширение «Турецкого потока», расширение «Сахалин-2» (строительство завода Балтийский СПГ), «Алтай», «прямой газопровод в ЮВЕ».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реализуемым же проектам относятся: «Сила Сибири», «Ямал-СПГ», «Северный поток - 2», «Турецкий поток».</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понимать, что развитие газовой отрасли в Российской Федерации напрямую сопряжено развитию СПГ, поэтому проекты по развитию торговли сжиженным газом играют весомую роль.</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момент, в Российской Федерации действует пока только один проект по производству СПГ - «Сахалин-2». Объем </w:t>
      </w:r>
      <w:proofErr w:type="gramStart"/>
      <w:r>
        <w:rPr>
          <w:rFonts w:ascii="Times New Roman CYR" w:hAnsi="Times New Roman CYR" w:cs="Times New Roman CYR"/>
          <w:sz w:val="28"/>
          <w:szCs w:val="28"/>
        </w:rPr>
        <w:t>производства</w:t>
      </w:r>
      <w:proofErr w:type="gramEnd"/>
      <w:r>
        <w:rPr>
          <w:rFonts w:ascii="Times New Roman CYR" w:hAnsi="Times New Roman CYR" w:cs="Times New Roman CYR"/>
          <w:sz w:val="28"/>
          <w:szCs w:val="28"/>
        </w:rPr>
        <w:t xml:space="preserve"> которого составляет порядка 11 миллионов тонн в год. Этот проект реализуется в сотрудничестве с нидерландско-британской компанией </w:t>
      </w:r>
      <w:r>
        <w:rPr>
          <w:rFonts w:ascii="Times New Roman CYR" w:hAnsi="Times New Roman CYR" w:cs="Times New Roman CYR"/>
          <w:sz w:val="28"/>
          <w:szCs w:val="28"/>
          <w:lang w:val="en-US"/>
        </w:rPr>
        <w:t>Royal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Dutch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Shell</w:t>
      </w:r>
      <w:r>
        <w:rPr>
          <w:rFonts w:ascii="Times New Roman CYR" w:hAnsi="Times New Roman CYR" w:cs="Times New Roman CYR"/>
          <w:sz w:val="28"/>
          <w:szCs w:val="28"/>
        </w:rPr>
        <w:t xml:space="preserve">. Планируется расширение данного проекта, путем постройки еще одного завода </w:t>
      </w:r>
      <w:proofErr w:type="gramStart"/>
      <w:r>
        <w:rPr>
          <w:rFonts w:ascii="Times New Roman CYR" w:hAnsi="Times New Roman CYR" w:cs="Times New Roman CYR"/>
          <w:sz w:val="28"/>
          <w:szCs w:val="28"/>
        </w:rPr>
        <w:t>Балтийский</w:t>
      </w:r>
      <w:proofErr w:type="gramEnd"/>
      <w:r>
        <w:rPr>
          <w:rFonts w:ascii="Times New Roman CYR" w:hAnsi="Times New Roman CYR" w:cs="Times New Roman CYR"/>
          <w:sz w:val="28"/>
          <w:szCs w:val="28"/>
        </w:rPr>
        <w:t xml:space="preserve"> СПГ в порту Устье Луга. Более того, планируется реализация третьей очереди на действующем «Сахалине-2», после чего будет рассмотрена реализация четвертой очереди.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крупнейшим проектам по развитию СПГ в российской газовой отрасли, относится проект «Ямал СПГ» - второй проект по сжиженному газу. </w:t>
      </w:r>
      <w:proofErr w:type="gramStart"/>
      <w:r>
        <w:rPr>
          <w:rFonts w:ascii="Times New Roman CYR" w:hAnsi="Times New Roman CYR" w:cs="Times New Roman CYR"/>
          <w:sz w:val="28"/>
          <w:szCs w:val="28"/>
        </w:rPr>
        <w:t>Реализацией</w:t>
      </w:r>
      <w:proofErr w:type="gramEnd"/>
      <w:r>
        <w:rPr>
          <w:rFonts w:ascii="Times New Roman CYR" w:hAnsi="Times New Roman CYR" w:cs="Times New Roman CYR"/>
          <w:sz w:val="28"/>
          <w:szCs w:val="28"/>
        </w:rPr>
        <w:t xml:space="preserve"> которого занимается российская газовая компания НОВАТЭК. Под проектом </w:t>
      </w:r>
      <w:r>
        <w:rPr>
          <w:rFonts w:ascii="Times New Roman CYR" w:hAnsi="Times New Roman CYR" w:cs="Times New Roman CYR"/>
          <w:sz w:val="28"/>
          <w:szCs w:val="28"/>
        </w:rPr>
        <w:lastRenderedPageBreak/>
        <w:t xml:space="preserve">подразумевается строительство завода и объектов по производству сжиженного газа на полуострове Ямал на ресурсной базе Южно-Тамбейского месторождения. Предполагаемая мощность достигает 16,5 млн. тонн в год, что удвоит нынешние объемы производства СПГ. Завод строится в суровых погодных условиях, а для производства сжиженного газа задействованы технологии </w:t>
      </w:r>
      <w:r>
        <w:rPr>
          <w:rFonts w:ascii="Times New Roman CYR" w:hAnsi="Times New Roman CYR" w:cs="Times New Roman CYR"/>
          <w:sz w:val="28"/>
          <w:szCs w:val="28"/>
          <w:lang w:val="en-US"/>
        </w:rPr>
        <w:t>BASF</w:t>
      </w:r>
      <w:r>
        <w:rPr>
          <w:rFonts w:ascii="Times New Roman CYR" w:hAnsi="Times New Roman CYR" w:cs="Times New Roman CYR"/>
          <w:sz w:val="28"/>
          <w:szCs w:val="28"/>
        </w:rPr>
        <w:t xml:space="preserve"> для очистки газа и Total для сжижения, хранения и транспортировки. Перспективность проекта Ямал СПГ заключается в двух факторах</w:t>
      </w:r>
      <w:proofErr w:type="gramStart"/>
      <w:r>
        <w:rPr>
          <w:rFonts w:ascii="Times New Roman CYR" w:hAnsi="Times New Roman CYR" w:cs="Times New Roman CYR"/>
          <w:sz w:val="28"/>
          <w:szCs w:val="28"/>
        </w:rPr>
        <w:t>:</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объем ресурсной базы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уникальное местоположение.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об объемах ресурсной базы данного проекта, стоит отметить, что помимо Южно-Тамбейского месторождения, запасы которого составляют 1,3 </w:t>
      </w:r>
      <w:proofErr w:type="gramStart"/>
      <w:r>
        <w:rPr>
          <w:rFonts w:ascii="Times New Roman CYR" w:hAnsi="Times New Roman CYR" w:cs="Times New Roman CYR"/>
          <w:sz w:val="28"/>
          <w:szCs w:val="28"/>
        </w:rPr>
        <w:t>трлн</w:t>
      </w:r>
      <w:proofErr w:type="gramEnd"/>
      <w:r>
        <w:rPr>
          <w:rFonts w:ascii="Times New Roman CYR" w:hAnsi="Times New Roman CYR" w:cs="Times New Roman CYR"/>
          <w:sz w:val="28"/>
          <w:szCs w:val="28"/>
        </w:rPr>
        <w:t xml:space="preserve"> куб. м, в распоряжение были также переведены Геофизическое и Салмановское месторождения, Северно-Обский и Восточно-Тембейский участки. Что должно увеличить ресурсную базу проекта до 4,5 трлн. куб. метров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уникальность местоположения данного проекта позволит без труда совершать поставки СПГ в любой порт, способный принять танкер СПГ.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том числе был заключен долгосрочный контракт на 20 лет с компанией Сименс, который предполагает увеличение локализации сервиса газотурбинных установок, а также и создание тренингов для обучения персонала.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что первые поставки СПГ данного проекта будут осуществлены уже в этом году.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«Арктик СПГ-2» является вторым проектом по производству сжиженного газа в Арктике и вторым проектом НОВАТЭК по сжижению газа. Ресурсная база предусматривается та же, что и «Ямал-СПГ». Пока проект находится толко на стадии планирования. Однако уже предполагается, что объемы производства сжиженного газа будут составлять от 12 до 16 млн. тонн в год. Ожидается запуск </w:t>
      </w:r>
      <w:r>
        <w:rPr>
          <w:rFonts w:ascii="Times New Roman CYR" w:hAnsi="Times New Roman CYR" w:cs="Times New Roman CYR"/>
          <w:sz w:val="28"/>
          <w:szCs w:val="28"/>
        </w:rPr>
        <w:lastRenderedPageBreak/>
        <w:t>проекта к 2022 году.</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«Печора СПГ» - предполагает разработку Кумжинского и Коровинского месторождений, запасы которых оцениваются в 165,8 млрд. куб. м. газа, и строительства завода по сжижению газа. Реализация проекта важна для Российской Федерации, так как она поможет укрепить свои позиции на рынке СПГ.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важным фактором развития газовой отрасли России - является развитие проектов сетевой газовой торговли. В рамках которой, перспективнее всего является транзит газа в Европу, а именно реализация проектов «Северный поток-2» и «Турецкий поток».</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поставок на Азиатский рынок, в рамках проекта «Сила Сибири», пока не несет в себе должной перспективы, так как реализация проекта предусматривает пока только поставки газа в Китай. Для которого в российском газе прямой нужды нет, рассматривая его лишь как инструмент диверсификации газа на рынке.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«Турецкий поток» - аналог «Южному потоку», который был заблокирован правительством Болгарии, через которую и должен был проходить транзит в Европу. Согласно данному проекту, поток соединит Россию с газотранспортной системой Турции. В рамках данного проекта будут осуществляться поставки непосредственно в саму Турцию по первой нитке газопровода и в Юго-Восточную Европу по второй нитке газопровода, избавляясь тем самым от зависимости от Украины в транзите газа. Мощность каждой из ниток газопровода составит 15,75 млрд. куб. м., позволяя поставлять порядка 32 млрд. куб. м. в год. Оценивается, что прибыль для </w:t>
      </w:r>
      <w:proofErr w:type="gramStart"/>
      <w:r>
        <w:rPr>
          <w:rFonts w:ascii="Times New Roman CYR" w:hAnsi="Times New Roman CYR" w:cs="Times New Roman CYR"/>
          <w:sz w:val="28"/>
          <w:szCs w:val="28"/>
        </w:rPr>
        <w:t>гос. бюджета</w:t>
      </w:r>
      <w:proofErr w:type="gramEnd"/>
      <w:r>
        <w:rPr>
          <w:rFonts w:ascii="Times New Roman CYR" w:hAnsi="Times New Roman CYR" w:cs="Times New Roman CYR"/>
          <w:sz w:val="28"/>
          <w:szCs w:val="28"/>
        </w:rPr>
        <w:t xml:space="preserve"> данного проекта составит примерно 750 млн. долларов с учетом лишь одной нитки. Реализации Турецкого потока </w:t>
      </w:r>
      <w:proofErr w:type="gramStart"/>
      <w:r>
        <w:rPr>
          <w:rFonts w:ascii="Times New Roman CYR" w:hAnsi="Times New Roman CYR" w:cs="Times New Roman CYR"/>
          <w:sz w:val="28"/>
          <w:szCs w:val="28"/>
        </w:rPr>
        <w:t>обусловлена</w:t>
      </w:r>
      <w:proofErr w:type="gramEnd"/>
      <w:r>
        <w:rPr>
          <w:rFonts w:ascii="Times New Roman CYR" w:hAnsi="Times New Roman CYR" w:cs="Times New Roman CYR"/>
          <w:sz w:val="28"/>
          <w:szCs w:val="28"/>
        </w:rPr>
        <w:t xml:space="preserve"> предоставлением скидки на газ со стороны Российской Федерации, а также предоставлением налоговых льгот со стороны </w:t>
      </w:r>
      <w:r>
        <w:rPr>
          <w:rFonts w:ascii="Times New Roman CYR" w:hAnsi="Times New Roman CYR" w:cs="Times New Roman CYR"/>
          <w:sz w:val="28"/>
          <w:szCs w:val="28"/>
        </w:rPr>
        <w:lastRenderedPageBreak/>
        <w:t>Турции, что ведет к благоприятному развитию этого проекта. Проект соответствует строгим стандартам промышленной, а главное экологической безопасности на всех этапах его реализации.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«Северный поток-2» </w:t>
      </w:r>
      <w:proofErr w:type="gramStart"/>
      <w:r>
        <w:rPr>
          <w:rFonts w:ascii="Times New Roman CYR" w:hAnsi="Times New Roman CYR" w:cs="Times New Roman CYR"/>
          <w:sz w:val="28"/>
          <w:szCs w:val="28"/>
        </w:rPr>
        <w:t>является</w:t>
      </w:r>
      <w:proofErr w:type="gramEnd"/>
      <w:r>
        <w:rPr>
          <w:rFonts w:ascii="Times New Roman CYR" w:hAnsi="Times New Roman CYR" w:cs="Times New Roman CYR"/>
          <w:sz w:val="28"/>
          <w:szCs w:val="28"/>
        </w:rPr>
        <w:t xml:space="preserve"> по сути расширением проекта Северный поток-1, пропускная способность первого потока составляет порядка 54,75 млрд. куб. м. в год. Однако с момента запуска проекта вырабатывалась тенденция роста загрузки газопровода, которая к 2016 году уже составила 80%. По этой причине было принято решение о разработке и реализации проекта «</w:t>
      </w:r>
      <w:proofErr w:type="gramStart"/>
      <w:r>
        <w:rPr>
          <w:rFonts w:ascii="Times New Roman CYR" w:hAnsi="Times New Roman CYR" w:cs="Times New Roman CYR"/>
          <w:sz w:val="28"/>
          <w:szCs w:val="28"/>
        </w:rPr>
        <w:t>Северный</w:t>
      </w:r>
      <w:proofErr w:type="gramEnd"/>
      <w:r>
        <w:rPr>
          <w:rFonts w:ascii="Times New Roman CYR" w:hAnsi="Times New Roman CYR" w:cs="Times New Roman CYR"/>
          <w:sz w:val="28"/>
          <w:szCs w:val="28"/>
        </w:rPr>
        <w:t xml:space="preserve"> поток-2». Это позволит удвоить пропускную способность и </w:t>
      </w:r>
      <w:proofErr w:type="gramStart"/>
      <w:r>
        <w:rPr>
          <w:rFonts w:ascii="Times New Roman CYR" w:hAnsi="Times New Roman CYR" w:cs="Times New Roman CYR"/>
          <w:sz w:val="28"/>
          <w:szCs w:val="28"/>
        </w:rPr>
        <w:t>восполнить</w:t>
      </w:r>
      <w:proofErr w:type="gramEnd"/>
      <w:r>
        <w:rPr>
          <w:rFonts w:ascii="Times New Roman CYR" w:hAnsi="Times New Roman CYR" w:cs="Times New Roman CYR"/>
          <w:sz w:val="28"/>
          <w:szCs w:val="28"/>
        </w:rPr>
        <w:t xml:space="preserve"> предполагаемы к 2035 году дефицит газового импорта Европы, связанного с истощением запасов, ведущим к сокращению добычи газа, как оценивается почти в два раза.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перспективы формирования газовой отрасли Российской Федерации зависят не только от деятельности самой страны, однако в ее силах реализовать все запланированные проекты и обеспечить стабильное и качественное процветание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Перспективы развития газовой отрасли в </w:t>
      </w:r>
      <w:proofErr w:type="gramStart"/>
      <w:r>
        <w:rPr>
          <w:rFonts w:ascii="Times New Roman CYR" w:hAnsi="Times New Roman CYR" w:cs="Times New Roman CYR"/>
          <w:sz w:val="28"/>
          <w:szCs w:val="28"/>
        </w:rPr>
        <w:t>странах-участниц</w:t>
      </w:r>
      <w:proofErr w:type="gramEnd"/>
      <w:r>
        <w:rPr>
          <w:rFonts w:ascii="Times New Roman CYR" w:hAnsi="Times New Roman CYR" w:cs="Times New Roman CYR"/>
          <w:sz w:val="28"/>
          <w:szCs w:val="28"/>
        </w:rPr>
        <w:t xml:space="preserve">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Катар продолжает связывать будущее своей газовой отрасли с СПГ, поэтому ожидается продолжение развития уже существующих проектов и разработка новых по сжиженному газу. Катар уже заключил ряд долгосрочных контрактов по экспорту сжиженного газа, в рамках которых Катар все больше и больше будет наращивать свое присутствие на рынке СПГ. Также, планируется выход Катара на Европейский рынок, что должно однозначно сказаться на ценах на Европейском рынке, и должно создать серьезную конкуренцию российскому газу. </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Иран - основной из проблем, препятствующей развитию газовой отрасли в Иране является инфраструктура, которая не позволяет использовать перспективу огромных запасов газа, для развития которой необходимы большие инвестиции, </w:t>
      </w:r>
      <w:r>
        <w:rPr>
          <w:rFonts w:ascii="Times New Roman CYR" w:hAnsi="Times New Roman CYR" w:cs="Times New Roman CYR"/>
          <w:sz w:val="28"/>
          <w:szCs w:val="28"/>
        </w:rPr>
        <w:lastRenderedPageBreak/>
        <w:t>для чего был заключен меморандум между Внешэкономбанком и Центральным банком Исламской Республики Иран с целью содействовать инвестиционной деятельности. Что говорит, что в долгосрочной перспективе у Ирана имеются большие возможности на становление одним из основных игроков в газовой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пока стоит рассмотреть краткосрочные перспективы, в рамках которых Иран пока не планирует выход на европейский рынок, ввиду рискованности и дороговизны проектов. Что означает, что в ближайшее время основным импортерами иранского газа будут соседние страны.</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препятствующему фактору развития торговли газом для Ирана стоит позиция Соединенных Штатов Америки, которые до сих пор полностью не отменили санкции. Напротив, вектор </w:t>
      </w:r>
      <w:proofErr w:type="gramStart"/>
      <w:r>
        <w:rPr>
          <w:rFonts w:ascii="Times New Roman CYR" w:hAnsi="Times New Roman CYR" w:cs="Times New Roman CYR"/>
          <w:sz w:val="28"/>
          <w:szCs w:val="28"/>
        </w:rPr>
        <w:t>развития отношений нового президента Дональда Трампа</w:t>
      </w:r>
      <w:proofErr w:type="gramEnd"/>
      <w:r>
        <w:rPr>
          <w:rFonts w:ascii="Times New Roman CYR" w:hAnsi="Times New Roman CYR" w:cs="Times New Roman CYR"/>
          <w:sz w:val="28"/>
          <w:szCs w:val="28"/>
        </w:rPr>
        <w:t xml:space="preserve"> с Ираном достаточно мрачный. Что очень сильно затрудняет поиск инвесторов. Иран также пытается разрабатывать производство СПГ, имея на перспективу три проекта, однако </w:t>
      </w:r>
      <w:proofErr w:type="gramStart"/>
      <w:r>
        <w:rPr>
          <w:rFonts w:ascii="Times New Roman CYR" w:hAnsi="Times New Roman CYR" w:cs="Times New Roman CYR"/>
          <w:sz w:val="28"/>
          <w:szCs w:val="28"/>
        </w:rPr>
        <w:t>опять таки</w:t>
      </w:r>
      <w:proofErr w:type="gramEnd"/>
      <w:r>
        <w:rPr>
          <w:rFonts w:ascii="Times New Roman CYR" w:hAnsi="Times New Roman CYR" w:cs="Times New Roman CYR"/>
          <w:sz w:val="28"/>
          <w:szCs w:val="28"/>
        </w:rPr>
        <w:t xml:space="preserve"> все упирается в финансирование.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перспективным проектам также относится проект «Мир». Проект в перспективе позволит поставлять природный газ по трубопроводу на азиатский рынок, основным импортером в проекте предполагается Пакистан.</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Нельзя не отметить роль России, </w:t>
      </w:r>
      <w:proofErr w:type="gramStart"/>
      <w:r>
        <w:rPr>
          <w:rFonts w:ascii="Times New Roman CYR" w:hAnsi="Times New Roman CYR" w:cs="Times New Roman CYR"/>
          <w:sz w:val="28"/>
          <w:szCs w:val="28"/>
        </w:rPr>
        <w:t>которая</w:t>
      </w:r>
      <w:proofErr w:type="gramEnd"/>
      <w:r>
        <w:rPr>
          <w:rFonts w:ascii="Times New Roman CYR" w:hAnsi="Times New Roman CYR" w:cs="Times New Roman CYR"/>
          <w:sz w:val="28"/>
          <w:szCs w:val="28"/>
        </w:rPr>
        <w:t xml:space="preserve"> несмотря на тот факт, что иранский газ в будущем предполагает быть конкурентным российскому, способствует развитию газовой отрасли, наращивая свое присутствие в газовой отрасли Ирана. Таким образом, был предложен трехсторонний проект между Российской Федерацией, Азербайджаном и Ираном, в рамках которого Россия будет поставлять газ через Азербайджан в Иран. Это в свою очередь ослабит зависимость Иранской стороны от Туркменистана. Тот факт, что обе страны </w:t>
      </w:r>
      <w:proofErr w:type="gramStart"/>
      <w:r>
        <w:rPr>
          <w:rFonts w:ascii="Times New Roman CYR" w:hAnsi="Times New Roman CYR" w:cs="Times New Roman CYR"/>
          <w:sz w:val="28"/>
          <w:szCs w:val="28"/>
        </w:rPr>
        <w:t>являются членами ФСЭГ способствует</w:t>
      </w:r>
      <w:proofErr w:type="gramEnd"/>
      <w:r>
        <w:rPr>
          <w:rFonts w:ascii="Times New Roman CYR" w:hAnsi="Times New Roman CYR" w:cs="Times New Roman CYR"/>
          <w:sz w:val="28"/>
          <w:szCs w:val="28"/>
        </w:rPr>
        <w:t xml:space="preserve"> развитию диалога между ними. Кроме того, Иран в долгосрочной перспективе планирует выйти на Европейский рынок, </w:t>
      </w:r>
      <w:r>
        <w:rPr>
          <w:rFonts w:ascii="Times New Roman CYR" w:hAnsi="Times New Roman CYR" w:cs="Times New Roman CYR"/>
          <w:sz w:val="28"/>
          <w:szCs w:val="28"/>
        </w:rPr>
        <w:lastRenderedPageBreak/>
        <w:t>о чем ведет переговоры с Турцией, именно это может стать ключевым фактором в привлечении инвестиций.</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Ливия планирует продолжать восстановление газовой отрасли после гражданской войны, выйдя на уровень добычи газа 150 млн. тонн в год. В перспективе Ливия рассчитывает на привлечения все большего количества инвесторов для развития инфраструктуры. Ко всему прочему, планируется восстановление проектов по сжижению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Алжир - Планируется инвестирование не менее 70 млрд. долларов в проекты по добыче сланцевого газа, что в свою очередь позволит выйти на уровень добычи сланцевого газа в объеме 20 млрд. куб. м. в год. Также для реализации существующих проектов Алжир предполагает привлечение иностранных компаний, предлагая доли участия в 20 проектах.</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том числе, планируется реализация проекта </w:t>
      </w:r>
      <w:r>
        <w:rPr>
          <w:rFonts w:ascii="Times New Roman CYR" w:hAnsi="Times New Roman CYR" w:cs="Times New Roman CYR"/>
          <w:sz w:val="28"/>
          <w:szCs w:val="28"/>
          <w:lang w:val="en-US"/>
        </w:rPr>
        <w:t>Galsi</w:t>
      </w:r>
      <w:r>
        <w:rPr>
          <w:rFonts w:ascii="Times New Roman CYR" w:hAnsi="Times New Roman CYR" w:cs="Times New Roman CYR"/>
          <w:sz w:val="28"/>
          <w:szCs w:val="28"/>
        </w:rPr>
        <w:t>, которые подразумевает строительство газопровода до Италии, общей мощность до 8 млрд. куб. м. Это позволит увеличить экспорт для Алжира, и откроет новые газовые активы для Италии. Уникальность проекта заключается в том, что это будет самым глубоким газопроводом в мире.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Объединенные Арабские Эмираты планируют расширить запасы природного газа, чтобы перестать зависеть от катарского газа и быть способным самостоятельно удовлетворять внутренний спрос.</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Боливия планирует увеличить добычу газа на 33% к 2020 году, что сильно укрепит позиции боливийского газа в Южной Америке.</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Египет планирует развитие и налаживание производства на обнаруженном в 2015 году месторождении в Средиземном море. Разработка этого самого крупного месторождения Египта, позволит стране </w:t>
      </w:r>
      <w:proofErr w:type="gramStart"/>
      <w:r>
        <w:rPr>
          <w:rFonts w:ascii="Times New Roman CYR" w:hAnsi="Times New Roman CYR" w:cs="Times New Roman CYR"/>
          <w:sz w:val="28"/>
          <w:szCs w:val="28"/>
        </w:rPr>
        <w:t>избавится</w:t>
      </w:r>
      <w:proofErr w:type="gramEnd"/>
      <w:r>
        <w:rPr>
          <w:rFonts w:ascii="Times New Roman CYR" w:hAnsi="Times New Roman CYR" w:cs="Times New Roman CYR"/>
          <w:sz w:val="28"/>
          <w:szCs w:val="28"/>
        </w:rPr>
        <w:t xml:space="preserve"> от зависимости от импорта, стабилизировать газовую ситуацию в стране и поспособствовать развитию газовой отрасли Египта.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Нигерии разрабатывается несколько проектов по развитию газовой отрасли, один из проектов подразумевает постройку завода по сжижению газа. Он имеет название Брас СПГ, с общим объемом мощностей 10 млн. тонн в год.</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же проект «Трансахарский газопровод» заключается в постройке газопровода между Нигерией и Алжиром. В перспективе, благодаря этому проекту, Нигерия сможет выйти на Европейский рынок.</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Пределы и возможности ФСЭГ</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заметить по прогнозам, которые даются относительно развития газовой отрасли в мире и в странах-участниках Форума Стран Экспортеров Газа, прогнозируется рост как значимости газа на энергетическом рынке, так и роли стран ФСЭГ в его будущем.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контексте можно сказать, что роль ФСЭГ как института-регулятора должна выйти на новый уровень. На данный момент, существует ряд препятствующих факторов, не позволяющих ФСЭГ занять более значимую роль на рынке газа.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таким </w:t>
      </w:r>
      <w:proofErr w:type="gramStart"/>
      <w:r>
        <w:rPr>
          <w:rFonts w:ascii="Times New Roman CYR" w:hAnsi="Times New Roman CYR" w:cs="Times New Roman CYR"/>
          <w:sz w:val="28"/>
          <w:szCs w:val="28"/>
        </w:rPr>
        <w:t>факторам</w:t>
      </w:r>
      <w:proofErr w:type="gramEnd"/>
      <w:r>
        <w:rPr>
          <w:rFonts w:ascii="Times New Roman CYR" w:hAnsi="Times New Roman CYR" w:cs="Times New Roman CYR"/>
          <w:sz w:val="28"/>
          <w:szCs w:val="28"/>
        </w:rPr>
        <w:t xml:space="preserve"> прежде всего относится индивидуализм каждой из сторон в рамках самого форума. Это связано в первую очередь с тем, что каждая страна преследует свою собственную цель, не пытаясь способствовать выработке общих интересов.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всему прочему, странам-членам форума мешает отсутствие полного доверия по отношению друг к другу, страны видят друг в друге не партнеров, а конкурентов, рассматривая выход той или иной страны на рынок, где торгуется собственный газ, как вызов.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принижая важности диалога и обмена данными по тем или иным позициям, стоит отметить важность подкрепления позиции удовлетворения </w:t>
      </w:r>
      <w:r>
        <w:rPr>
          <w:rFonts w:ascii="Times New Roman CYR" w:hAnsi="Times New Roman CYR" w:cs="Times New Roman CYR"/>
          <w:sz w:val="28"/>
          <w:szCs w:val="28"/>
        </w:rPr>
        <w:lastRenderedPageBreak/>
        <w:t xml:space="preserve">глобальных потребностей и интересов не только диалогом, но и определенными шагами, способствующими этому удовлетворению. </w:t>
      </w:r>
      <w:proofErr w:type="gramStart"/>
      <w:r>
        <w:rPr>
          <w:rFonts w:ascii="Times New Roman CYR" w:hAnsi="Times New Roman CYR" w:cs="Times New Roman CYR"/>
          <w:sz w:val="28"/>
          <w:szCs w:val="28"/>
        </w:rPr>
        <w:t>Важно способствовать развитию газовой отрасли в каждой из стран-членов сообщества, путем заключения разного вида контрактов и меморандумов, это будет приносить обоюдную выгоду как в краткосрочном периоде, так в и долгосрочном.</w:t>
      </w:r>
      <w:proofErr w:type="gramEnd"/>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данный </w:t>
      </w:r>
      <w:proofErr w:type="gramStart"/>
      <w:r>
        <w:rPr>
          <w:rFonts w:ascii="Times New Roman CYR" w:hAnsi="Times New Roman CYR" w:cs="Times New Roman CYR"/>
          <w:sz w:val="28"/>
          <w:szCs w:val="28"/>
        </w:rPr>
        <w:t>момент</w:t>
      </w:r>
      <w:proofErr w:type="gramEnd"/>
      <w:r>
        <w:rPr>
          <w:rFonts w:ascii="Times New Roman CYR" w:hAnsi="Times New Roman CYR" w:cs="Times New Roman CYR"/>
          <w:sz w:val="28"/>
          <w:szCs w:val="28"/>
        </w:rPr>
        <w:t xml:space="preserve"> очевидно, что страны не готовы к трансформации форума в картель. Возможно диверсификация ценообразования, существующая на данный момент и выгодна странам, ввиду того, что каждая страна формирует удобную именно ее торговле цену. Но трансформация в картель привнесет баланс в ценообразовании, чего явно не хватает газовой отрасли. К такой трансформации есть все предпосылки. С развитием газовой отрасли, данное объединение не может стоять на месте, рано или поздно страны-члены должны прийти к этому важному шагу. Необходимо переходить от объединения стран с различными целями и интересами к целостному органу, способному управлять всей газовой отраслью.</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пользу дальнейшего развития говорит тот факт, что на протяжении уже почти 18 лет страны-члены собираются на саммитах, министерских собраниях и в рамках диалога обсуждают значимость развития газовой отрасли и форума в целом. Наличие этих саммитов и министерских встреч, говорит о заинтересованности каждой из сторон. А с учетом возможностей, которыми обладает каждая из стран, очевидно, что формирование главенствующей позиции в газовой отрасли по силам, необходимо только определить правильный вектор развития, с задействованием этих мощностей.</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исследовательской работе был проведен анализ механизмов функционирования мирового газового рынка.</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становление газовой отрасли в Российской Федерации, автор убедился, что фундамент лидирующей мировой газовой державы закладывался на протяжении долгого периода времени.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такой организации, как Форум Стран Экспортеров Газа, подтверждает растущую значимость необходимости формирования устойчивого и прозрачного рынка энергии. Анализ сотрудничества госуда</w:t>
      </w:r>
      <w:proofErr w:type="gramStart"/>
      <w:r>
        <w:rPr>
          <w:rFonts w:ascii="Times New Roman CYR" w:hAnsi="Times New Roman CYR" w:cs="Times New Roman CYR"/>
          <w:sz w:val="28"/>
          <w:szCs w:val="28"/>
        </w:rPr>
        <w:t>рств в р</w:t>
      </w:r>
      <w:proofErr w:type="gramEnd"/>
      <w:r>
        <w:rPr>
          <w:rFonts w:ascii="Times New Roman CYR" w:hAnsi="Times New Roman CYR" w:cs="Times New Roman CYR"/>
          <w:sz w:val="28"/>
          <w:szCs w:val="28"/>
        </w:rPr>
        <w:t>амках ФСЭГ является свидетельством взаимной заинтересованности стран-членов организации в поддержании взаимного диалога и вследствие совместного решения назревающих проблем для эффективного функционирования мировой газовой отрасли.</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статистических данных в ходе изучения мирового рынка газа можно сделать вывод о том, что страны-члены ФСЭГ обладают основными разведанными запасами природного газа и являются лидерами по его производству, однако нельзя отрицать и факт существования государств-конкурентов на мировой газовой арене, а также их общую тенденцию к наращиванию энергетического потенциала. Кроме того, в большинстве стран ФСЭГ газовая отрасль находится в тесной зависимости от спроса со стороны потребителей и от предложения со стороны государств-конкурентов.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Диверсификация ценообразования на рынке газа способствует нестабильности отрасли в целом. Ввиду отсутствия единой формулы для формирования цены, каждая страна использует удобную для нее привязку к ценам на конкурентные энергоносители. При генерировании цены на газ индивидуальной выгоде отдается большее предпочтение, чем выгоде обоюдной, </w:t>
      </w:r>
      <w:r>
        <w:rPr>
          <w:rFonts w:ascii="Times New Roman CYR" w:hAnsi="Times New Roman CYR" w:cs="Times New Roman CYR"/>
          <w:sz w:val="28"/>
          <w:szCs w:val="28"/>
        </w:rPr>
        <w:lastRenderedPageBreak/>
        <w:t>что в некоторых случаях приводит к манипуляции на ценах на мировом рынке газа, что в свою очередь препятствует созданию конкурентной среды и благоприятному развитию газовой отрасли в целом.</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организации ФСЭГ в рамках теории институционализма подтверждает тот факт, что для Форума Стран Экспортеров Газа крайне сложным и практически невозможным является какое-либо прогнозирование. Это доказывает и нестабильность, и непредсказуемость газовой отрасли, а также выявляет основную проблематику функционирования газовых компаний: колебания цен, изменение в соотношении спрос/предложение, влияние политического и климатического аспектов.</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мировых перспектив газовой отрасли заключается в выявлении растущего спроса на газ в ближайшем будущем, что позволяет делать акцент странам на усиленном развитии газового сектора. Также ожидается появление большей конкуренции на мировом газовом рынке.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стоит отметить, что развитие газового сектора в отдельно взятой стране невозможно осуществить только путем прямого инвестирования, необходим учет внешних факторов: изменение климата, а также климатическая политика мирового сообщества, развитие альтернативных источников энергии, политический аспект.</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Ожидается ускоренное развитие газового сектора в РФ, ввиду привлечения инвестиций в новые проекты (выход на азиатский рынок, развитие СПГ, «Южный поток») и финансирования уже существующих («Северный поток-2», «Сахалин СПГ»)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расширение</w:t>
      </w:r>
      <w:proofErr w:type="gramEnd"/>
      <w:r>
        <w:rPr>
          <w:rFonts w:ascii="Times New Roman CYR" w:hAnsi="Times New Roman CYR" w:cs="Times New Roman CYR"/>
          <w:sz w:val="28"/>
          <w:szCs w:val="28"/>
        </w:rPr>
        <w:t xml:space="preserve"> их мощностей. В каждой из стран-членов ФСЭГ также наблюдается тенденция по развитию газовой отрасли внутри страны, однако масштаб любых инвестирований зависит от целей, которые напрямую связаны с потенциалом государства и его ролью на мировом рынке и в рамках ФСЭГ.</w:t>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Проанализировав недостатки и возможности ФСЭГ, были выявлены </w:t>
      </w:r>
      <w:r>
        <w:rPr>
          <w:rFonts w:ascii="Times New Roman CYR" w:hAnsi="Times New Roman CYR" w:cs="Times New Roman CYR"/>
          <w:sz w:val="28"/>
          <w:szCs w:val="28"/>
        </w:rPr>
        <w:lastRenderedPageBreak/>
        <w:t>основные причины (индивидуализм стран-членов, неподкрепленность диалога непосредственной деятельностью по разрешению существующих и возможных проблем) неполноценного функционирования организации как инструмента-регулятора мировой газовой отрасли и были рассмотрены возможные способы усовершенствования уже существующей организации (установление единого системы ценообразования путем трансформации в газовый картель; заключение обоюдовыгодных контрактов между странами-членами для развития газовой отрасли каждой из стран).</w:t>
      </w:r>
      <w:proofErr w:type="gramEnd"/>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2C65AC" w:rsidRDefault="008F40F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2C65AC" w:rsidRDefault="002C6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Официальные правительственные документы, исследования международных организаций, материалы международных конференций.</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Сбербанк. Центр макроэкономических исследований. Природный газ: краткий обзор мировой отрасли и анализ сланцевого бума, май 2012.</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ТЭК России. Ежемесячный бюллетень, 2007</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Энергетический бюллетень. Технологические приоритеты в энергетике, апрель 2017.</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4.</w:t>
      </w:r>
      <w:r>
        <w:rPr>
          <w:rFonts w:ascii="Times New Roman CYR" w:hAnsi="Times New Roman CYR" w:cs="Times New Roman CYR"/>
          <w:sz w:val="28"/>
          <w:szCs w:val="28"/>
          <w:lang w:val="en-US"/>
        </w:rPr>
        <w:tab/>
        <w:t>BP Statistical Review of World Energy, June 2016.</w:t>
      </w:r>
    </w:p>
    <w:p w:rsidR="002C65AC" w:rsidRPr="00D37791"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CIA World Factbook, </w:t>
      </w:r>
      <w:r>
        <w:rPr>
          <w:rFonts w:ascii="Times New Roman CYR" w:hAnsi="Times New Roman CYR" w:cs="Times New Roman CYR"/>
          <w:sz w:val="28"/>
          <w:szCs w:val="28"/>
        </w:rPr>
        <w:t>январь</w:t>
      </w:r>
      <w:r w:rsidRPr="00D37791">
        <w:rPr>
          <w:rFonts w:ascii="Times New Roman CYR" w:hAnsi="Times New Roman CYR" w:cs="Times New Roman CYR"/>
          <w:sz w:val="28"/>
          <w:szCs w:val="28"/>
          <w:lang w:val="en-US"/>
        </w:rPr>
        <w:t xml:space="preserve"> 2017.</w:t>
      </w:r>
    </w:p>
    <w:p w:rsidR="002C65AC" w:rsidRPr="00D37791"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proofErr w:type="gramStart"/>
      <w:r>
        <w:rPr>
          <w:rFonts w:ascii="Times New Roman CYR" w:hAnsi="Times New Roman CYR" w:cs="Times New Roman CYR"/>
          <w:sz w:val="28"/>
          <w:szCs w:val="28"/>
          <w:lang w:val="en-US"/>
        </w:rPr>
        <w:t>6.</w:t>
      </w:r>
      <w:r>
        <w:rPr>
          <w:rFonts w:ascii="Times New Roman CYR" w:hAnsi="Times New Roman CYR" w:cs="Times New Roman CYR"/>
          <w:sz w:val="28"/>
          <w:szCs w:val="28"/>
          <w:lang w:val="en-US"/>
        </w:rPr>
        <w:tab/>
        <w:t>Central Intelligence Agency.</w:t>
      </w:r>
      <w:proofErr w:type="gramEnd"/>
      <w:r>
        <w:rPr>
          <w:rFonts w:ascii="Times New Roman CYR" w:hAnsi="Times New Roman CYR" w:cs="Times New Roman CYR"/>
          <w:sz w:val="28"/>
          <w:szCs w:val="28"/>
          <w:lang w:val="en-US"/>
        </w:rPr>
        <w:t xml:space="preserve"> </w:t>
      </w:r>
      <w:proofErr w:type="gramStart"/>
      <w:r>
        <w:rPr>
          <w:rFonts w:ascii="Times New Roman CYR" w:hAnsi="Times New Roman CYR" w:cs="Times New Roman CYR"/>
          <w:sz w:val="28"/>
          <w:szCs w:val="28"/>
          <w:lang w:val="en-US"/>
        </w:rPr>
        <w:t>Natural Gas.</w:t>
      </w:r>
      <w:proofErr w:type="gramEnd"/>
      <w:r>
        <w:rPr>
          <w:rFonts w:ascii="Times New Roman CYR" w:hAnsi="Times New Roman CYR" w:cs="Times New Roman CYR"/>
          <w:sz w:val="28"/>
          <w:szCs w:val="28"/>
          <w:lang w:val="en-US"/>
        </w:rPr>
        <w:t xml:space="preserve"> </w:t>
      </w:r>
      <w:r w:rsidRPr="00D37791">
        <w:rPr>
          <w:rFonts w:ascii="Times New Roman CYR" w:hAnsi="Times New Roman CYR" w:cs="Times New Roman CYR"/>
          <w:sz w:val="28"/>
          <w:szCs w:val="28"/>
          <w:lang w:val="en-US"/>
        </w:rPr>
        <w:t>Exports, 2016</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7.</w:t>
      </w:r>
      <w:r>
        <w:rPr>
          <w:rFonts w:ascii="Times New Roman CYR" w:hAnsi="Times New Roman CYR" w:cs="Times New Roman CYR"/>
          <w:sz w:val="28"/>
          <w:szCs w:val="28"/>
          <w:lang w:val="en-US"/>
        </w:rPr>
        <w:tab/>
        <w:t xml:space="preserve">Global Energy Statistical Yearbook 2016: Enerdata, 2016. </w:t>
      </w:r>
      <w:proofErr w:type="gramStart"/>
      <w:r>
        <w:rPr>
          <w:rFonts w:ascii="Times New Roman CYR" w:hAnsi="Times New Roman CYR" w:cs="Times New Roman CYR"/>
          <w:sz w:val="28"/>
          <w:szCs w:val="28"/>
          <w:lang w:val="en-US"/>
        </w:rPr>
        <w:t>World natural gas production in 2016.</w:t>
      </w:r>
      <w:proofErr w:type="gramEnd"/>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IEA Natural Gas Information Statistics, August 2016</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IGU World Gas LNG Report, 2016.</w:t>
      </w:r>
    </w:p>
    <w:p w:rsidR="002C65AC" w:rsidRDefault="008F40FA">
      <w:pPr>
        <w:widowControl w:val="0"/>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International Gas Union, World LNG Report, 2016</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Учебники и монографии.</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Гостинин И.А., Вирясов А.Н., Семенова М.А. Анализ аварийных ситуаций на линейной части магистральных газопроводов, 2013</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Зуев В.Н. Глобальные институты регулирования. - М.:Магистр, НИЦ ИНФРА-М, 2016.</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Майорец М., Симонов К. Сжиженный природный газ - будущее мировой энергетики</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Рудаченко А.В. Газотурбинные установки для транспорта природного газа: учебное пособие. - Томск: Изд. ТПУ, 2010.</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Савонин С.В., Москаленко А.В., Тюндер А.В. Анализ основных причин аварий, </w:t>
      </w:r>
      <w:r>
        <w:rPr>
          <w:rFonts w:ascii="Times New Roman CYR" w:hAnsi="Times New Roman CYR" w:cs="Times New Roman CYR"/>
          <w:sz w:val="28"/>
          <w:szCs w:val="28"/>
        </w:rPr>
        <w:lastRenderedPageBreak/>
        <w:t>произошедших на магистральных газопроводах, 2015.</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Сэмюэлс У. Дж. Институциональная экономическая теория</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Справочные издания.</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Газовая и газоперерабатывающая промышленность России 2012-2020 гг. Инвестиционные проекты и описание компаний.</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Газпром. Информаторий.</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Промышленность России: статистический сборник, 2005</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Экономическая география России. - М.: ЮНИТИ, 2000.</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rPr>
        <w:t>Статьи</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из</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периодических</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изданий</w:t>
      </w:r>
      <w:r>
        <w:rPr>
          <w:rFonts w:ascii="Times New Roman CYR" w:hAnsi="Times New Roman CYR" w:cs="Times New Roman CYR"/>
          <w:sz w:val="28"/>
          <w:szCs w:val="28"/>
          <w:lang w:val="en-US"/>
        </w:rPr>
        <w:t>.</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Clemente J. U.S. Set </w:t>
      </w:r>
      <w:proofErr w:type="gramStart"/>
      <w:r>
        <w:rPr>
          <w:rFonts w:ascii="Times New Roman CYR" w:hAnsi="Times New Roman CYR" w:cs="Times New Roman CYR"/>
          <w:sz w:val="28"/>
          <w:szCs w:val="28"/>
          <w:lang w:val="en-US"/>
        </w:rPr>
        <w:t>To</w:t>
      </w:r>
      <w:proofErr w:type="gramEnd"/>
      <w:r>
        <w:rPr>
          <w:rFonts w:ascii="Times New Roman CYR" w:hAnsi="Times New Roman CYR" w:cs="Times New Roman CYR"/>
          <w:sz w:val="28"/>
          <w:szCs w:val="28"/>
          <w:lang w:val="en-US"/>
        </w:rPr>
        <w:t xml:space="preserve"> Rival Russia In Oil And Natural Gas Exports, 2017.</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Clemente J. World Benefits From U.S. Liquefied Natural Gas Exports, January, 2016.</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 EIA Today </w:t>
      </w:r>
      <w:proofErr w:type="gramStart"/>
      <w:r>
        <w:rPr>
          <w:rFonts w:ascii="Times New Roman CYR" w:hAnsi="Times New Roman CYR" w:cs="Times New Roman CYR"/>
          <w:sz w:val="28"/>
          <w:szCs w:val="28"/>
          <w:lang w:val="en-US"/>
        </w:rPr>
        <w:t>In</w:t>
      </w:r>
      <w:proofErr w:type="gramEnd"/>
      <w:r>
        <w:rPr>
          <w:rFonts w:ascii="Times New Roman CYR" w:hAnsi="Times New Roman CYR" w:cs="Times New Roman CYR"/>
          <w:sz w:val="28"/>
          <w:szCs w:val="28"/>
          <w:lang w:val="en-US"/>
        </w:rPr>
        <w:t xml:space="preserve"> Energy, «U.S. energy-related carbon dioxide emissions in 2015 are 12% below their 2005 levels», May, 2016.</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EIA: LNG exports expected to drive growth in U.S. natural gas trade, February, 2017.</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Kukemelk J. Qatar - the biggest exporter of liquid gas in the world, 2015</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Vanwyhe K. U.S.: Net Exporter of Natural Gas, Why Strong Somestic Policy is Essential, January, 2017.</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 Vincent A., Caruso Jr. LNG Exports. Exporting Natural Gas Benefits Industry and America, March, 2014.</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Интернет-ресурсы.</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minenergo</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 Министерство энергетики РФ</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gecforum</w:t>
      </w:r>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r>
        <w:rPr>
          <w:rFonts w:ascii="Times New Roman CYR" w:hAnsi="Times New Roman CYR" w:cs="Times New Roman CYR"/>
          <w:sz w:val="28"/>
          <w:szCs w:val="28"/>
          <w:lang w:val="en-US"/>
        </w:rPr>
        <w:t>qa</w:t>
      </w:r>
      <w:r>
        <w:rPr>
          <w:rFonts w:ascii="Times New Roman CYR" w:hAnsi="Times New Roman CYR" w:cs="Times New Roman CYR"/>
          <w:sz w:val="28"/>
          <w:szCs w:val="28"/>
        </w:rPr>
        <w:t>/ - Официальный сайт ФСЭГ</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mid</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 Министерство иностранных дел РФ</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cdu</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 Центральное диспетчерское управление топливно-энергетического комплекса</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http://www.gasstrategies.com/industry-glossary</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ac</w:t>
      </w:r>
      <w:r>
        <w:rPr>
          <w:rFonts w:ascii="Times New Roman CYR" w:hAnsi="Times New Roman CYR" w:cs="Times New Roman CYR"/>
          <w:sz w:val="28"/>
          <w:szCs w:val="28"/>
        </w:rPr>
        <w:t>.</w:t>
      </w:r>
      <w:r>
        <w:rPr>
          <w:rFonts w:ascii="Times New Roman CYR" w:hAnsi="Times New Roman CYR" w:cs="Times New Roman CYR"/>
          <w:sz w:val="28"/>
          <w:szCs w:val="28"/>
          <w:lang w:val="en-US"/>
        </w:rPr>
        <w:t>gov</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publications</w:t>
      </w:r>
      <w:r>
        <w:rPr>
          <w:rFonts w:ascii="Times New Roman CYR" w:hAnsi="Times New Roman CYR" w:cs="Times New Roman CYR"/>
          <w:sz w:val="28"/>
          <w:szCs w:val="28"/>
        </w:rPr>
        <w:t>/</w:t>
      </w:r>
      <w:r>
        <w:rPr>
          <w:rFonts w:ascii="Times New Roman CYR" w:hAnsi="Times New Roman CYR" w:cs="Times New Roman CYR"/>
          <w:sz w:val="28"/>
          <w:szCs w:val="28"/>
          <w:lang w:val="en-US"/>
        </w:rPr>
        <w:t>bulletin</w:t>
      </w:r>
      <w:r>
        <w:rPr>
          <w:rFonts w:ascii="Times New Roman CYR" w:hAnsi="Times New Roman CYR" w:cs="Times New Roman CYR"/>
          <w:sz w:val="28"/>
          <w:szCs w:val="28"/>
        </w:rPr>
        <w:t xml:space="preserve">/ - Аналитический центр при Правительстве </w:t>
      </w:r>
      <w:r>
        <w:rPr>
          <w:rFonts w:ascii="Times New Roman CYR" w:hAnsi="Times New Roman CYR" w:cs="Times New Roman CYR"/>
          <w:sz w:val="28"/>
          <w:szCs w:val="28"/>
        </w:rPr>
        <w:lastRenderedPageBreak/>
        <w:t>Российской Федерации</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t>34. www.oilandgaseurasia.com - Oil and Gas Eurasia</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35.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spimex</w:t>
      </w:r>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 xml:space="preserve"> - СПбМТСБ</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gasoilpress</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 ГАЗоил Пресс</w:t>
      </w:r>
    </w:p>
    <w:p w:rsidR="002C65AC"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novatek</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 НОВАТЭК</w:t>
      </w:r>
    </w:p>
    <w:p w:rsidR="008F40FA" w:rsidRDefault="008F40FA">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hyperlink r:id="rId18" w:history="1">
        <w:r w:rsidR="00D61373" w:rsidRPr="008D374B">
          <w:rPr>
            <w:rStyle w:val="a9"/>
            <w:rFonts w:ascii="Times New Roman CYR" w:hAnsi="Times New Roman CYR" w:cs="Times New Roman CYR"/>
            <w:sz w:val="28"/>
            <w:szCs w:val="28"/>
            <w:lang w:val="en-US"/>
          </w:rPr>
          <w:t>www</w:t>
        </w:r>
        <w:r w:rsidR="00D61373" w:rsidRPr="008D374B">
          <w:rPr>
            <w:rStyle w:val="a9"/>
            <w:rFonts w:ascii="Times New Roman CYR" w:hAnsi="Times New Roman CYR" w:cs="Times New Roman CYR"/>
            <w:sz w:val="28"/>
            <w:szCs w:val="28"/>
          </w:rPr>
          <w:t>.</w:t>
        </w:r>
        <w:r w:rsidR="00D61373" w:rsidRPr="008D374B">
          <w:rPr>
            <w:rStyle w:val="a9"/>
            <w:rFonts w:ascii="Times New Roman CYR" w:hAnsi="Times New Roman CYR" w:cs="Times New Roman CYR"/>
            <w:sz w:val="28"/>
            <w:szCs w:val="28"/>
            <w:lang w:val="en-US"/>
          </w:rPr>
          <w:t>pro</w:t>
        </w:r>
        <w:r w:rsidR="00D61373" w:rsidRPr="008D374B">
          <w:rPr>
            <w:rStyle w:val="a9"/>
            <w:rFonts w:ascii="Times New Roman CYR" w:hAnsi="Times New Roman CYR" w:cs="Times New Roman CYR"/>
            <w:sz w:val="28"/>
            <w:szCs w:val="28"/>
          </w:rPr>
          <w:t>-</w:t>
        </w:r>
        <w:r w:rsidR="00D61373" w:rsidRPr="008D374B">
          <w:rPr>
            <w:rStyle w:val="a9"/>
            <w:rFonts w:ascii="Times New Roman CYR" w:hAnsi="Times New Roman CYR" w:cs="Times New Roman CYR"/>
            <w:sz w:val="28"/>
            <w:szCs w:val="28"/>
            <w:lang w:val="en-US"/>
          </w:rPr>
          <w:t>gas</w:t>
        </w:r>
        <w:r w:rsidR="00D61373" w:rsidRPr="008D374B">
          <w:rPr>
            <w:rStyle w:val="a9"/>
            <w:rFonts w:ascii="Times New Roman CYR" w:hAnsi="Times New Roman CYR" w:cs="Times New Roman CYR"/>
            <w:sz w:val="28"/>
            <w:szCs w:val="28"/>
          </w:rPr>
          <w:t>.</w:t>
        </w:r>
        <w:r w:rsidR="00D61373" w:rsidRPr="008D374B">
          <w:rPr>
            <w:rStyle w:val="a9"/>
            <w:rFonts w:ascii="Times New Roman CYR" w:hAnsi="Times New Roman CYR" w:cs="Times New Roman CYR"/>
            <w:sz w:val="28"/>
            <w:szCs w:val="28"/>
            <w:lang w:val="en-US"/>
          </w:rPr>
          <w:t>ru</w:t>
        </w:r>
      </w:hyperlink>
    </w:p>
    <w:p w:rsidR="00D61373" w:rsidRPr="00D61373" w:rsidRDefault="00D61373" w:rsidP="00D61373">
      <w:pPr>
        <w:jc w:val="center"/>
        <w:rPr>
          <w:rFonts w:eastAsiaTheme="minorHAnsi"/>
          <w:lang w:eastAsia="en-US"/>
        </w:rPr>
      </w:pPr>
    </w:p>
    <w:tbl>
      <w:tblPr>
        <w:tblStyle w:val="aa"/>
        <w:tblW w:w="0" w:type="auto"/>
        <w:tblLook w:val="04A0" w:firstRow="1" w:lastRow="0" w:firstColumn="1" w:lastColumn="0" w:noHBand="0" w:noVBand="1"/>
      </w:tblPr>
      <w:tblGrid>
        <w:gridCol w:w="3227"/>
        <w:gridCol w:w="6678"/>
      </w:tblGrid>
      <w:tr w:rsidR="00D61373" w:rsidRPr="00D61373" w:rsidTr="002F565F">
        <w:tc>
          <w:tcPr>
            <w:tcW w:w="3227" w:type="dxa"/>
          </w:tcPr>
          <w:p w:rsidR="00D61373" w:rsidRPr="00D61373" w:rsidRDefault="00D61373" w:rsidP="00D61373">
            <w:pPr>
              <w:spacing w:after="200" w:line="480" w:lineRule="auto"/>
              <w:jc w:val="center"/>
              <w:rPr>
                <w:rFonts w:eastAsiaTheme="minorHAnsi"/>
                <w:lang w:eastAsia="en-US"/>
              </w:rPr>
            </w:pPr>
          </w:p>
          <w:p w:rsidR="00D61373" w:rsidRPr="00D61373" w:rsidRDefault="00D61373" w:rsidP="00D61373">
            <w:pPr>
              <w:spacing w:after="200" w:line="480" w:lineRule="auto"/>
              <w:jc w:val="center"/>
              <w:rPr>
                <w:rFonts w:eastAsiaTheme="minorHAnsi"/>
                <w:lang w:val="en-US" w:eastAsia="en-US"/>
              </w:rPr>
            </w:pPr>
            <w:hyperlink r:id="rId19" w:history="1">
              <w:r w:rsidRPr="00D61373">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D61373" w:rsidRPr="00D61373" w:rsidRDefault="00D61373" w:rsidP="00D61373">
            <w:pPr>
              <w:spacing w:after="200" w:line="480" w:lineRule="auto"/>
              <w:jc w:val="center"/>
              <w:rPr>
                <w:rFonts w:eastAsiaTheme="minorHAnsi"/>
                <w:lang w:val="en-US" w:eastAsia="en-US"/>
              </w:rPr>
            </w:pPr>
            <w:r w:rsidRPr="00D61373">
              <w:rPr>
                <w:rFonts w:eastAsiaTheme="minorHAnsi"/>
                <w:noProof/>
              </w:rPr>
              <w:drawing>
                <wp:inline distT="0" distB="0" distL="0" distR="0" wp14:anchorId="44A83A90" wp14:editId="04DB760A">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61373" w:rsidRPr="00D61373" w:rsidRDefault="00D61373" w:rsidP="00D61373">
      <w:pPr>
        <w:spacing w:line="480" w:lineRule="auto"/>
        <w:jc w:val="center"/>
        <w:rPr>
          <w:rFonts w:ascii="Arial Black" w:eastAsiaTheme="minorHAnsi" w:hAnsi="Arial Black"/>
          <w:b/>
          <w:sz w:val="16"/>
          <w:szCs w:val="16"/>
          <w:lang w:eastAsia="en-US"/>
        </w:rPr>
      </w:pPr>
    </w:p>
    <w:tbl>
      <w:tblPr>
        <w:tblStyle w:val="aa"/>
        <w:tblW w:w="0" w:type="auto"/>
        <w:tblLook w:val="04A0" w:firstRow="1" w:lastRow="0" w:firstColumn="1" w:lastColumn="0" w:noHBand="0" w:noVBand="1"/>
      </w:tblPr>
      <w:tblGrid>
        <w:gridCol w:w="4952"/>
        <w:gridCol w:w="4953"/>
      </w:tblGrid>
      <w:tr w:rsidR="00D61373" w:rsidRPr="00D61373" w:rsidTr="002F565F">
        <w:tc>
          <w:tcPr>
            <w:tcW w:w="4952" w:type="dxa"/>
          </w:tcPr>
          <w:p w:rsidR="00D61373" w:rsidRPr="00D61373" w:rsidRDefault="00D61373" w:rsidP="00D61373">
            <w:pPr>
              <w:spacing w:after="200" w:line="480" w:lineRule="auto"/>
              <w:jc w:val="center"/>
              <w:rPr>
                <w:rFonts w:eastAsiaTheme="minorHAnsi"/>
                <w:lang w:eastAsia="en-US"/>
              </w:rPr>
            </w:pPr>
          </w:p>
          <w:p w:rsidR="00D61373" w:rsidRPr="00D61373" w:rsidRDefault="00D61373" w:rsidP="00D61373">
            <w:pPr>
              <w:spacing w:after="200" w:line="480" w:lineRule="auto"/>
              <w:jc w:val="center"/>
              <w:rPr>
                <w:rFonts w:eastAsiaTheme="minorHAnsi"/>
                <w:lang w:eastAsia="en-US"/>
              </w:rPr>
            </w:pPr>
            <w:hyperlink r:id="rId21" w:history="1">
              <w:r w:rsidRPr="00D61373">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D61373" w:rsidRPr="00D61373" w:rsidRDefault="00D61373" w:rsidP="00D61373">
            <w:pPr>
              <w:spacing w:after="200" w:line="480" w:lineRule="auto"/>
              <w:jc w:val="center"/>
              <w:rPr>
                <w:rFonts w:eastAsiaTheme="minorHAnsi"/>
                <w:lang w:eastAsia="en-US"/>
              </w:rPr>
            </w:pPr>
            <w:r w:rsidRPr="00D61373">
              <w:rPr>
                <w:rFonts w:eastAsiaTheme="minorHAnsi"/>
                <w:noProof/>
              </w:rPr>
              <w:drawing>
                <wp:inline distT="0" distB="0" distL="0" distR="0" wp14:anchorId="724C1B4C" wp14:editId="6CC01F41">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61373" w:rsidRPr="00D61373" w:rsidRDefault="00D61373" w:rsidP="00D61373">
      <w:pPr>
        <w:spacing w:line="480" w:lineRule="auto"/>
        <w:jc w:val="center"/>
        <w:rPr>
          <w:rFonts w:eastAsiaTheme="minorHAnsi"/>
          <w:sz w:val="16"/>
          <w:szCs w:val="16"/>
          <w:lang w:eastAsia="en-US"/>
        </w:rPr>
      </w:pPr>
    </w:p>
    <w:tbl>
      <w:tblPr>
        <w:tblStyle w:val="aa"/>
        <w:tblW w:w="0" w:type="auto"/>
        <w:jc w:val="center"/>
        <w:tblLook w:val="04A0" w:firstRow="1" w:lastRow="0" w:firstColumn="1" w:lastColumn="0" w:noHBand="0" w:noVBand="1"/>
      </w:tblPr>
      <w:tblGrid>
        <w:gridCol w:w="3594"/>
        <w:gridCol w:w="3402"/>
      </w:tblGrid>
      <w:tr w:rsidR="00D61373" w:rsidRPr="00D61373" w:rsidTr="002F565F">
        <w:trPr>
          <w:jc w:val="center"/>
        </w:trPr>
        <w:tc>
          <w:tcPr>
            <w:tcW w:w="3594" w:type="dxa"/>
          </w:tcPr>
          <w:p w:rsidR="00D61373" w:rsidRPr="00D61373" w:rsidRDefault="00D61373" w:rsidP="00D61373">
            <w:pPr>
              <w:spacing w:after="200" w:line="480" w:lineRule="auto"/>
              <w:jc w:val="center"/>
              <w:rPr>
                <w:rFonts w:eastAsiaTheme="minorHAnsi"/>
                <w:lang w:eastAsia="en-US"/>
              </w:rPr>
            </w:pPr>
          </w:p>
          <w:p w:rsidR="00D61373" w:rsidRPr="00D61373" w:rsidRDefault="00D61373" w:rsidP="00D61373">
            <w:pPr>
              <w:spacing w:after="200" w:line="480" w:lineRule="auto"/>
              <w:jc w:val="center"/>
              <w:rPr>
                <w:rFonts w:ascii="Arial Black" w:eastAsiaTheme="minorHAnsi" w:hAnsi="Arial Black" w:cs="Arial"/>
                <w:b/>
                <w:sz w:val="28"/>
                <w:szCs w:val="28"/>
                <w:lang w:eastAsia="en-US"/>
              </w:rPr>
            </w:pPr>
            <w:hyperlink r:id="rId23" w:history="1">
              <w:r w:rsidRPr="00D61373">
                <w:rPr>
                  <w:rFonts w:ascii="Arial Black" w:eastAsiaTheme="minorHAnsi" w:hAnsi="Arial Black"/>
                  <w:b/>
                  <w:color w:val="0000FF" w:themeColor="hyperlink"/>
                  <w:sz w:val="28"/>
                  <w:szCs w:val="28"/>
                  <w:u w:val="single"/>
                  <w:lang w:eastAsia="en-US"/>
                </w:rPr>
                <w:t>АУДИОЛЕКЦИИ</w:t>
              </w:r>
            </w:hyperlink>
          </w:p>
        </w:tc>
        <w:tc>
          <w:tcPr>
            <w:tcW w:w="3402" w:type="dxa"/>
          </w:tcPr>
          <w:p w:rsidR="00D61373" w:rsidRPr="00D61373" w:rsidRDefault="00D61373" w:rsidP="00D61373">
            <w:pPr>
              <w:spacing w:after="200" w:line="480" w:lineRule="auto"/>
              <w:jc w:val="center"/>
              <w:rPr>
                <w:rFonts w:ascii="Arial Black" w:eastAsiaTheme="minorHAnsi" w:hAnsi="Arial Black" w:cs="Arial"/>
                <w:b/>
                <w:sz w:val="28"/>
                <w:szCs w:val="28"/>
                <w:lang w:eastAsia="en-US"/>
              </w:rPr>
            </w:pPr>
            <w:r w:rsidRPr="00D61373">
              <w:rPr>
                <w:rFonts w:eastAsiaTheme="minorHAnsi"/>
                <w:noProof/>
              </w:rPr>
              <w:drawing>
                <wp:inline distT="0" distB="0" distL="0" distR="0" wp14:anchorId="217BE924" wp14:editId="29ABCC8B">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61373" w:rsidRPr="00D61373" w:rsidRDefault="00D61373" w:rsidP="00D61373">
      <w:pPr>
        <w:spacing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D61373" w:rsidRPr="00D61373" w:rsidTr="002F565F">
        <w:tc>
          <w:tcPr>
            <w:tcW w:w="3652" w:type="dxa"/>
          </w:tcPr>
          <w:p w:rsidR="00D61373" w:rsidRPr="00D61373" w:rsidRDefault="00D61373" w:rsidP="00D61373">
            <w:pPr>
              <w:spacing w:after="200" w:line="480" w:lineRule="auto"/>
              <w:jc w:val="center"/>
              <w:rPr>
                <w:rFonts w:eastAsiaTheme="minorHAnsi"/>
                <w:lang w:eastAsia="en-US"/>
              </w:rPr>
            </w:pPr>
          </w:p>
          <w:p w:rsidR="00D61373" w:rsidRPr="00D61373" w:rsidRDefault="00D61373" w:rsidP="00D61373">
            <w:pPr>
              <w:spacing w:after="200" w:line="480" w:lineRule="auto"/>
              <w:jc w:val="center"/>
              <w:rPr>
                <w:rFonts w:eastAsiaTheme="minorHAnsi"/>
                <w:lang w:val="en-US" w:eastAsia="en-US"/>
              </w:rPr>
            </w:pPr>
            <w:hyperlink r:id="rId25" w:history="1">
              <w:r w:rsidRPr="00D61373">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D61373" w:rsidRPr="00D61373" w:rsidRDefault="00D61373" w:rsidP="00D61373">
            <w:pPr>
              <w:spacing w:after="200" w:line="480" w:lineRule="auto"/>
              <w:jc w:val="center"/>
              <w:rPr>
                <w:rFonts w:eastAsiaTheme="minorHAnsi"/>
                <w:lang w:val="en-US" w:eastAsia="en-US"/>
              </w:rPr>
            </w:pPr>
            <w:r w:rsidRPr="00D61373">
              <w:rPr>
                <w:rFonts w:eastAsiaTheme="minorHAnsi"/>
                <w:noProof/>
              </w:rPr>
              <w:drawing>
                <wp:inline distT="0" distB="0" distL="0" distR="0" wp14:anchorId="3ED2A865" wp14:editId="3292F180">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61373" w:rsidRPr="00D61373" w:rsidRDefault="00D61373" w:rsidP="00D61373">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D61373" w:rsidRPr="00D61373" w:rsidTr="002F565F">
        <w:tc>
          <w:tcPr>
            <w:tcW w:w="3936" w:type="dxa"/>
          </w:tcPr>
          <w:p w:rsidR="00D61373" w:rsidRPr="00D61373" w:rsidRDefault="00D61373" w:rsidP="00D61373">
            <w:pPr>
              <w:jc w:val="center"/>
              <w:rPr>
                <w:rFonts w:ascii="Times New Roman CYR" w:eastAsia="Calibri" w:hAnsi="Times New Roman CYR" w:cs="Times New Roman CYR"/>
                <w:sz w:val="24"/>
                <w:szCs w:val="24"/>
                <w:lang w:eastAsia="en-US"/>
              </w:rPr>
            </w:pPr>
          </w:p>
          <w:p w:rsidR="00D61373" w:rsidRPr="00D61373" w:rsidRDefault="00D61373" w:rsidP="00D61373">
            <w:pPr>
              <w:jc w:val="center"/>
              <w:rPr>
                <w:rFonts w:ascii="Calibri" w:eastAsia="Calibri" w:hAnsi="Calibri" w:cs="Times New Roman"/>
                <w:lang w:eastAsia="en-US"/>
              </w:rPr>
            </w:pPr>
            <w:hyperlink r:id="rId27" w:history="1">
              <w:r w:rsidRPr="00D61373">
                <w:rPr>
                  <w:rFonts w:ascii="Arial Black" w:eastAsia="Calibri" w:hAnsi="Arial Black" w:cs="Times New Roman"/>
                  <w:b/>
                  <w:color w:val="0000FF"/>
                  <w:sz w:val="28"/>
                  <w:szCs w:val="28"/>
                  <w:u w:val="single"/>
                  <w:lang w:val="en-US" w:eastAsia="en-US"/>
                </w:rPr>
                <w:t>ФИТНЕС на ДОМУ</w:t>
              </w:r>
            </w:hyperlink>
          </w:p>
        </w:tc>
        <w:tc>
          <w:tcPr>
            <w:tcW w:w="5969" w:type="dxa"/>
          </w:tcPr>
          <w:p w:rsidR="00D61373" w:rsidRPr="00D61373" w:rsidRDefault="00D61373" w:rsidP="00D61373">
            <w:pPr>
              <w:jc w:val="center"/>
              <w:rPr>
                <w:rFonts w:ascii="Calibri" w:eastAsia="Calibri" w:hAnsi="Calibri" w:cs="Times New Roman"/>
                <w:lang w:eastAsia="en-US"/>
              </w:rPr>
            </w:pPr>
            <w:r w:rsidRPr="00D61373">
              <w:rPr>
                <w:rFonts w:ascii="Calibri" w:eastAsia="Calibri" w:hAnsi="Calibri" w:cs="Times New Roman"/>
                <w:noProof/>
              </w:rPr>
              <w:drawing>
                <wp:inline distT="0" distB="0" distL="0" distR="0" wp14:anchorId="4A4787ED" wp14:editId="3536736D">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61373" w:rsidRPr="00D61373" w:rsidRDefault="00D61373">
      <w:pPr>
        <w:widowControl w:val="0"/>
        <w:tabs>
          <w:tab w:val="left" w:pos="709"/>
        </w:tab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D61373" w:rsidRPr="00D61373">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97" w:rsidRDefault="00F61297" w:rsidP="001E1BE4">
      <w:pPr>
        <w:spacing w:after="0" w:line="240" w:lineRule="auto"/>
      </w:pPr>
      <w:r>
        <w:separator/>
      </w:r>
    </w:p>
  </w:endnote>
  <w:endnote w:type="continuationSeparator" w:id="0">
    <w:p w:rsidR="00F61297" w:rsidRDefault="00F61297" w:rsidP="001E1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E4" w:rsidRDefault="001E1BE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E4" w:rsidRDefault="001E1BE4" w:rsidP="001E1BE4">
    <w:pPr>
      <w:pStyle w:val="a5"/>
    </w:pPr>
    <w:r>
      <w:t xml:space="preserve">Вернуться в каталог готовых дипломов и магистерских диссертаций </w:t>
    </w:r>
  </w:p>
  <w:p w:rsidR="001E1BE4" w:rsidRDefault="001E1BE4" w:rsidP="001E1BE4">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E4" w:rsidRDefault="001E1B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97" w:rsidRDefault="00F61297" w:rsidP="001E1BE4">
      <w:pPr>
        <w:spacing w:after="0" w:line="240" w:lineRule="auto"/>
      </w:pPr>
      <w:r>
        <w:separator/>
      </w:r>
    </w:p>
  </w:footnote>
  <w:footnote w:type="continuationSeparator" w:id="0">
    <w:p w:rsidR="00F61297" w:rsidRDefault="00F61297" w:rsidP="001E1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E4" w:rsidRDefault="001E1BE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3B6" w:rsidRDefault="00B803B6" w:rsidP="00B803B6">
    <w:pPr>
      <w:pStyle w:val="a3"/>
    </w:pPr>
    <w:r>
      <w:t>Узнайте стоимость написания на заказ студенческих и аспирантских работ</w:t>
    </w:r>
  </w:p>
  <w:p w:rsidR="001E1BE4" w:rsidRDefault="00B803B6" w:rsidP="00B803B6">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E4" w:rsidRDefault="001E1BE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561"/>
    <w:rsid w:val="001E1BE4"/>
    <w:rsid w:val="002C65AC"/>
    <w:rsid w:val="002F27DD"/>
    <w:rsid w:val="00753EF9"/>
    <w:rsid w:val="008F40FA"/>
    <w:rsid w:val="00B803B6"/>
    <w:rsid w:val="00D37791"/>
    <w:rsid w:val="00D61373"/>
    <w:rsid w:val="00D7293B"/>
    <w:rsid w:val="00F61297"/>
    <w:rsid w:val="00FC1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B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E1BE4"/>
  </w:style>
  <w:style w:type="paragraph" w:styleId="a5">
    <w:name w:val="footer"/>
    <w:basedOn w:val="a"/>
    <w:link w:val="a6"/>
    <w:uiPriority w:val="99"/>
    <w:unhideWhenUsed/>
    <w:rsid w:val="001E1B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E1BE4"/>
  </w:style>
  <w:style w:type="paragraph" w:styleId="a7">
    <w:name w:val="Balloon Text"/>
    <w:basedOn w:val="a"/>
    <w:link w:val="a8"/>
    <w:uiPriority w:val="99"/>
    <w:semiHidden/>
    <w:unhideWhenUsed/>
    <w:rsid w:val="00D613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1373"/>
    <w:rPr>
      <w:rFonts w:ascii="Tahoma" w:hAnsi="Tahoma" w:cs="Tahoma"/>
      <w:sz w:val="16"/>
      <w:szCs w:val="16"/>
    </w:rPr>
  </w:style>
  <w:style w:type="character" w:styleId="a9">
    <w:name w:val="Hyperlink"/>
    <w:basedOn w:val="a0"/>
    <w:uiPriority w:val="99"/>
    <w:unhideWhenUsed/>
    <w:rsid w:val="00D61373"/>
    <w:rPr>
      <w:color w:val="0000FF" w:themeColor="hyperlink"/>
      <w:u w:val="single"/>
    </w:rPr>
  </w:style>
  <w:style w:type="table" w:styleId="aa">
    <w:name w:val="Table Grid"/>
    <w:basedOn w:val="a1"/>
    <w:uiPriority w:val="59"/>
    <w:rsid w:val="00D61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D6137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1B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E1BE4"/>
  </w:style>
  <w:style w:type="paragraph" w:styleId="a5">
    <w:name w:val="footer"/>
    <w:basedOn w:val="a"/>
    <w:link w:val="a6"/>
    <w:uiPriority w:val="99"/>
    <w:unhideWhenUsed/>
    <w:rsid w:val="001E1B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E1BE4"/>
  </w:style>
  <w:style w:type="paragraph" w:styleId="a7">
    <w:name w:val="Balloon Text"/>
    <w:basedOn w:val="a"/>
    <w:link w:val="a8"/>
    <w:uiPriority w:val="99"/>
    <w:semiHidden/>
    <w:unhideWhenUsed/>
    <w:rsid w:val="00D613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1373"/>
    <w:rPr>
      <w:rFonts w:ascii="Tahoma" w:hAnsi="Tahoma" w:cs="Tahoma"/>
      <w:sz w:val="16"/>
      <w:szCs w:val="16"/>
    </w:rPr>
  </w:style>
  <w:style w:type="character" w:styleId="a9">
    <w:name w:val="Hyperlink"/>
    <w:basedOn w:val="a0"/>
    <w:uiPriority w:val="99"/>
    <w:unhideWhenUsed/>
    <w:rsid w:val="00D61373"/>
    <w:rPr>
      <w:color w:val="0000FF" w:themeColor="hyperlink"/>
      <w:u w:val="single"/>
    </w:rPr>
  </w:style>
  <w:style w:type="table" w:styleId="aa">
    <w:name w:val="Table Grid"/>
    <w:basedOn w:val="a1"/>
    <w:uiPriority w:val="59"/>
    <w:rsid w:val="00D61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D6137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wmf"/><Relationship Id="rId18" Type="http://schemas.openxmlformats.org/officeDocument/2006/relationships/hyperlink" Target="http://www.pro-gas.ru"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61</Pages>
  <Words>13284</Words>
  <Characters>75723</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2022-08-26T13:27:00Z</dcterms:created>
  <dcterms:modified xsi:type="dcterms:W3CDTF">2023-05-13T12:33:00Z</dcterms:modified>
</cp:coreProperties>
</file>