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7D3A" w:rsidRDefault="001B7D3A">
      <w:pPr>
        <w:widowControl w:val="0"/>
        <w:autoSpaceDE w:val="0"/>
        <w:autoSpaceDN w:val="0"/>
        <w:adjustRightInd w:val="0"/>
        <w:spacing w:after="0" w:line="360" w:lineRule="auto"/>
        <w:ind w:firstLine="709"/>
        <w:jc w:val="both"/>
        <w:rPr>
          <w:rFonts w:ascii="Times New Roman CYR" w:hAnsi="Times New Roman CYR" w:cs="Times New Roman CYR"/>
          <w:caps/>
          <w:sz w:val="28"/>
          <w:szCs w:val="28"/>
          <w:lang w:val="en-US"/>
        </w:rPr>
      </w:pPr>
    </w:p>
    <w:p w:rsidR="001B7D3A" w:rsidRDefault="001B7D3A">
      <w:pPr>
        <w:widowControl w:val="0"/>
        <w:autoSpaceDE w:val="0"/>
        <w:autoSpaceDN w:val="0"/>
        <w:adjustRightInd w:val="0"/>
        <w:spacing w:after="0" w:line="360" w:lineRule="auto"/>
        <w:ind w:firstLine="709"/>
        <w:jc w:val="both"/>
        <w:rPr>
          <w:rFonts w:ascii="Times New Roman CYR" w:hAnsi="Times New Roman CYR" w:cs="Times New Roman CYR"/>
          <w:caps/>
          <w:sz w:val="28"/>
          <w:szCs w:val="28"/>
          <w:lang w:val="en-US"/>
        </w:rPr>
      </w:pPr>
    </w:p>
    <w:p w:rsidR="001B7D3A" w:rsidRPr="001B7D3A" w:rsidRDefault="001B7D3A" w:rsidP="001B7D3A">
      <w:pPr>
        <w:widowControl w:val="0"/>
        <w:autoSpaceDE w:val="0"/>
        <w:autoSpaceDN w:val="0"/>
        <w:adjustRightInd w:val="0"/>
        <w:spacing w:after="0" w:line="360" w:lineRule="auto"/>
        <w:ind w:firstLine="709"/>
        <w:jc w:val="center"/>
        <w:rPr>
          <w:rFonts w:ascii="Times New Roman CYR" w:hAnsi="Times New Roman CYR" w:cs="Times New Roman CYR"/>
          <w:b/>
          <w:caps/>
          <w:sz w:val="28"/>
          <w:szCs w:val="28"/>
        </w:rPr>
      </w:pPr>
      <w:r w:rsidRPr="001B7D3A">
        <w:rPr>
          <w:rFonts w:ascii="Times New Roman CYR" w:hAnsi="Times New Roman CYR" w:cs="Times New Roman CYR"/>
          <w:b/>
          <w:caps/>
          <w:sz w:val="28"/>
          <w:szCs w:val="28"/>
        </w:rPr>
        <w:t>Анализ и совершенствование системы управления сферой образования</w:t>
      </w:r>
    </w:p>
    <w:p w:rsidR="001B7D3A" w:rsidRDefault="001B7D3A" w:rsidP="001B7D3A">
      <w:pPr>
        <w:widowControl w:val="0"/>
        <w:autoSpaceDE w:val="0"/>
        <w:autoSpaceDN w:val="0"/>
        <w:adjustRightInd w:val="0"/>
        <w:spacing w:after="0" w:line="360" w:lineRule="auto"/>
        <w:ind w:firstLine="709"/>
        <w:jc w:val="center"/>
        <w:rPr>
          <w:rFonts w:ascii="Times New Roman CYR" w:hAnsi="Times New Roman CYR" w:cs="Times New Roman CYR"/>
          <w:caps/>
          <w:sz w:val="28"/>
          <w:szCs w:val="28"/>
        </w:rPr>
      </w:pPr>
      <w:r>
        <w:rPr>
          <w:rFonts w:ascii="Times New Roman CYR" w:hAnsi="Times New Roman CYR" w:cs="Times New Roman CYR"/>
          <w:caps/>
          <w:sz w:val="28"/>
          <w:szCs w:val="28"/>
        </w:rPr>
        <w:t>Диплом</w:t>
      </w:r>
    </w:p>
    <w:p w:rsidR="001B7D3A" w:rsidRPr="001B7D3A" w:rsidRDefault="001B7D3A" w:rsidP="001B7D3A">
      <w:pPr>
        <w:widowControl w:val="0"/>
        <w:autoSpaceDE w:val="0"/>
        <w:autoSpaceDN w:val="0"/>
        <w:adjustRightInd w:val="0"/>
        <w:spacing w:after="0" w:line="360" w:lineRule="auto"/>
        <w:ind w:firstLine="709"/>
        <w:jc w:val="center"/>
        <w:rPr>
          <w:rFonts w:ascii="Times New Roman CYR" w:hAnsi="Times New Roman CYR" w:cs="Times New Roman CYR"/>
          <w:caps/>
          <w:sz w:val="28"/>
          <w:szCs w:val="28"/>
        </w:rPr>
      </w:pPr>
      <w:r>
        <w:rPr>
          <w:rFonts w:ascii="Times New Roman CYR" w:hAnsi="Times New Roman CYR" w:cs="Times New Roman CYR"/>
          <w:caps/>
          <w:sz w:val="28"/>
          <w:szCs w:val="28"/>
        </w:rPr>
        <w:t>2012</w:t>
      </w:r>
    </w:p>
    <w:p w:rsidR="001B7D3A" w:rsidRPr="00D841E7" w:rsidRDefault="001B7D3A">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p>
    <w:p w:rsidR="001B7D3A" w:rsidRPr="00D841E7" w:rsidRDefault="001B7D3A">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Введение</w:t>
      </w:r>
    </w:p>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Первого сентября каждого года в школах, лицеях, гимназиях России за парты садятся более 20 млн. школьников, в аудитории вузов, техникумов, колледжей приходят сотни тысяч студентов. Если раньше рыночные отношения их практически не касались, то сегодня значительная часть образования напрямую связана с рынком, так как многие учебные заведения являются платными.</w:t>
      </w:r>
    </w:p>
    <w:p w:rsidR="00FE5AE9" w:rsidRPr="00717612"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Особенность России состоит в том, что в течение длительного времени в сознание россиян внедрялась идея "права на бесплатное образование". И нужно сказать, что эта идея достаточно прочно овладела массами. Образование стало в сознании людей само собой разумеющейся бесплатной услугой.</w:t>
      </w:r>
    </w:p>
    <w:p w:rsidR="00D841E7" w:rsidRPr="00D841E7" w:rsidRDefault="00D841E7" w:rsidP="00D841E7">
      <w:pPr>
        <w:widowControl w:val="0"/>
        <w:autoSpaceDE w:val="0"/>
        <w:autoSpaceDN w:val="0"/>
        <w:adjustRightInd w:val="0"/>
        <w:spacing w:after="0" w:line="240" w:lineRule="auto"/>
        <w:jc w:val="center"/>
        <w:rPr>
          <w:rFonts w:ascii="Times New Roman CYR" w:hAnsi="Times New Roman CYR" w:cs="Times New Roman CYR"/>
          <w:b/>
          <w:color w:val="FF0000"/>
          <w:sz w:val="28"/>
          <w:szCs w:val="28"/>
        </w:rPr>
      </w:pPr>
      <w:r w:rsidRPr="00D841E7">
        <w:rPr>
          <w:rFonts w:ascii="Times New Roman CYR" w:hAnsi="Times New Roman CYR" w:cs="Times New Roman CYR"/>
          <w:b/>
          <w:color w:val="FF0000"/>
          <w:sz w:val="28"/>
          <w:szCs w:val="28"/>
        </w:rPr>
        <w:t>Вернуться в каталог готовых дипломов и магистерских диссертаций –</w:t>
      </w:r>
    </w:p>
    <w:p w:rsidR="00D841E7" w:rsidRPr="00D841E7" w:rsidRDefault="001368EF" w:rsidP="00D841E7">
      <w:pPr>
        <w:widowControl w:val="0"/>
        <w:autoSpaceDE w:val="0"/>
        <w:autoSpaceDN w:val="0"/>
        <w:adjustRightInd w:val="0"/>
        <w:spacing w:after="0" w:line="240" w:lineRule="auto"/>
        <w:jc w:val="center"/>
        <w:rPr>
          <w:rFonts w:ascii="Times New Roman CYR" w:hAnsi="Times New Roman CYR" w:cs="Times New Roman CYR"/>
          <w:b/>
          <w:color w:val="FF0000"/>
          <w:sz w:val="28"/>
          <w:szCs w:val="28"/>
        </w:rPr>
      </w:pPr>
      <w:hyperlink r:id="rId8" w:history="1">
        <w:r w:rsidR="00D841E7" w:rsidRPr="00D841E7">
          <w:rPr>
            <w:rFonts w:ascii="Times New Roman CYR" w:hAnsi="Times New Roman CYR" w:cs="Times New Roman CYR"/>
            <w:b/>
            <w:color w:val="FF0000"/>
            <w:sz w:val="28"/>
            <w:szCs w:val="28"/>
            <w:u w:val="single"/>
            <w:lang w:val="en-US"/>
          </w:rPr>
          <w:t>http</w:t>
        </w:r>
        <w:r w:rsidR="00D841E7" w:rsidRPr="00D841E7">
          <w:rPr>
            <w:rFonts w:ascii="Times New Roman CYR" w:hAnsi="Times New Roman CYR" w:cs="Times New Roman CYR"/>
            <w:b/>
            <w:color w:val="FF0000"/>
            <w:sz w:val="28"/>
            <w:szCs w:val="28"/>
            <w:u w:val="single"/>
          </w:rPr>
          <w:t>://учебники.информ2000.рф/</w:t>
        </w:r>
        <w:r w:rsidR="00D841E7" w:rsidRPr="00D841E7">
          <w:rPr>
            <w:rFonts w:ascii="Times New Roman CYR" w:hAnsi="Times New Roman CYR" w:cs="Times New Roman CYR"/>
            <w:b/>
            <w:color w:val="FF0000"/>
            <w:sz w:val="28"/>
            <w:szCs w:val="28"/>
            <w:u w:val="single"/>
            <w:lang w:val="en-US"/>
          </w:rPr>
          <w:t>diplom</w:t>
        </w:r>
        <w:r w:rsidR="00D841E7" w:rsidRPr="00D841E7">
          <w:rPr>
            <w:rFonts w:ascii="Times New Roman CYR" w:hAnsi="Times New Roman CYR" w:cs="Times New Roman CYR"/>
            <w:b/>
            <w:color w:val="FF0000"/>
            <w:sz w:val="28"/>
            <w:szCs w:val="28"/>
            <w:u w:val="single"/>
          </w:rPr>
          <w:t>.</w:t>
        </w:r>
        <w:r w:rsidR="00D841E7" w:rsidRPr="00D841E7">
          <w:rPr>
            <w:rFonts w:ascii="Times New Roman CYR" w:hAnsi="Times New Roman CYR" w:cs="Times New Roman CYR"/>
            <w:b/>
            <w:color w:val="FF0000"/>
            <w:sz w:val="28"/>
            <w:szCs w:val="28"/>
            <w:u w:val="single"/>
            <w:lang w:val="en-US"/>
          </w:rPr>
          <w:t>shtml</w:t>
        </w:r>
      </w:hyperlink>
    </w:p>
    <w:p w:rsidR="00D841E7" w:rsidRPr="00D841E7" w:rsidRDefault="00D841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Трансформация механизмов реализации конституционных гарантий в области образования должна сочетаться с созданием экономических условий, позволяющих гражданам за счет собственных доходов обеспечивать получение образовательных услуг сверх государственных гарантий. Этому будет содействовать введение институтов образовательного кредита и расширение </w:t>
      </w:r>
      <w:r>
        <w:rPr>
          <w:rFonts w:ascii="Times New Roman CYR" w:hAnsi="Times New Roman CYR" w:cs="Times New Roman CYR"/>
          <w:sz w:val="28"/>
          <w:szCs w:val="28"/>
        </w:rPr>
        <w:lastRenderedPageBreak/>
        <w:t>налоговых льгот для граждан, расходующих средства на оплату своего обучения или получения образования членами своей семьи.</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Учреждения образования предоставляют обществу услуги определенного вида, потребителями которых являются учащиеся и студенты, предъявляющие результаты своей деятельности на рынке труда, потребителями которых выступают предприятия и организации. Эта двойственная природа деятельности образовательных учреждений значительно усложняет определение продукта, потребителей, а, следовательно, и проведение сегментирования и выявления целевых рынков.</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Средством расширения ресурсной базы учебных заведений может стать расширение состава учредителей образовательных организаций, прежде всего профессиональных учебных заведений. Это откроет возможности для кооперации государственных и муниципальных органов управления, а также заинтересованных юридических лиц при создании и обеспечении деятельности этих учебных заведений, для увеличения объемов их финансирования, применения различных механизмов управления и надзора за их деятельностью, в том числе таких, которые предполагают реальное участие общественности (попечительские советы и другие подобные органы).</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Современный период развития общества от системы образования требует динамизма и вариативности. Каждая образовательная система вновь, как и всегда в кризисной ситуации, наиболее ощущает болевые точки социума, так как призвана разрешить противоречия между обществом, нуждающемся в профессионале, мыслящем нестандартно, способном принимать решения и нести за них ответственность и личностью, стремящейся реализовать свои потенциальные возможности. </w:t>
      </w:r>
      <w:r>
        <w:rPr>
          <w:rFonts w:ascii="Times New Roman CYR" w:hAnsi="Times New Roman CYR" w:cs="Times New Roman CYR"/>
          <w:sz w:val="28"/>
          <w:szCs w:val="28"/>
        </w:rPr>
        <w:br/>
        <w:t xml:space="preserve">Разрешение сложившихся противоречий требует переосмысления сложившейся педагогической практики подготовки школьников. Об этом свидетельствуют </w:t>
      </w:r>
      <w:r>
        <w:rPr>
          <w:rFonts w:ascii="Times New Roman CYR" w:hAnsi="Times New Roman CYR" w:cs="Times New Roman CYR"/>
          <w:sz w:val="28"/>
          <w:szCs w:val="28"/>
        </w:rPr>
        <w:lastRenderedPageBreak/>
        <w:t>следующие факты:</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как показывают данные международных исследований, в последние годы российская школа теряет свои позиции в уровне подготовки по ряду предметов;</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преобладание внешней заданности в целях, содержании и технологии обучения приводит к ослаблению внутренней мотивации школьников, нежелание учиться, гиперболизация у них формальных ценностей образования;</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растет отчуждение ученика от образования, обусловленное несоответствием традиционных целей и форм обучения меняющимся жизненным потребностям учащихся.</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в высшей школе сформировалось устойчивое мнение о необходимости дополнительной специализированной подготовки старшеклассников для прохождения вступительных испытаний и дальнейшего образования в вузах. Традиционная непрофильная подготовка старшеклассников в общеобразовательных учреждениях привела к нарушению преемственности между школой и вузом, породила многочисленные подготовительные отделения вузов, репетиторство, платные курсы и др.</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данным Всероссийского центра изучения общественного мнения, большинство старшеклассников считает, что существующее ныне общее образование не дает возможностей для успешного обучения в вузе и построения дальнейшей профессиональной карьеры. В этом отношении нынешний уровень и характер полного среднего образования считают приемлемым менее 12% опрошенных учащихся старших классов. </w:t>
      </w:r>
      <w:r>
        <w:rPr>
          <w:rFonts w:ascii="Times New Roman CYR" w:hAnsi="Times New Roman CYR" w:cs="Times New Roman CYR"/>
          <w:sz w:val="28"/>
          <w:szCs w:val="28"/>
        </w:rPr>
        <w:br/>
        <w:t xml:space="preserve">В общественном сознании зреет понимание того, что будущее России будет полностью определяться качеством образования, что без приоритетного внимания общества к образованию невозможно, как показывает мировой опыт. Премьер- министр Российской Федерации В.В. Путин отметил, что «...должен быть изменен сам подход к образованию. В эпоху глобализаций и новых </w:t>
      </w:r>
      <w:r>
        <w:rPr>
          <w:rFonts w:ascii="Times New Roman CYR" w:hAnsi="Times New Roman CYR" w:cs="Times New Roman CYR"/>
          <w:sz w:val="28"/>
          <w:szCs w:val="28"/>
        </w:rPr>
        <w:lastRenderedPageBreak/>
        <w:t>технологий - это не просто социальная сфера. Это вложение средств в будущее страны, в котором участвуют все заинтересованные в качественном образовании наших детей». Но, чтобы соответствовать ожиданиям, не отставать от времени, старшая школа должна качественно изменяться, причем изменяться ей необходимо постоянно, так как только развивающаяся школа в состоянии выполнить социальный заказ общества, который не остается неизменным.</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перспективы развития школы существенное влияние оказывает разработка и распространение новшеств. Достижения и разработки в сфере образования, педагогический опыт, рожденный в других школах, - могут быть мощными стимулами развития школы. Так социологический опрос руководителей школ Астраханской области показал, что источниками инновационных преобразований для 30% из них являются научные разработки по педагогике и психологии, а для 31% - позитивный опыт работы других учреждений. Пути обновления школ 41% опрошенных руководителей видит в освоении научных разработок, а 30% - в заимствовании и совершенствовании опыта других школ. Школа, не учитывающая и не использующая возможности, имеющиеся в окружающей ее среде, а работающая в режиме функционирования, в результате может оказаться в роли отстающей.</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Конечно, существуют и факторы, сдерживающие развитие муниципальных образовательных систем.</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 в качестве серьезного сдерживающего фактора выступает финансовое обеспечение: сегодня образовательные учреждения обеспечены бюджетным финансированием только на 25-40% от расчетной нормативной потребности. И если в профессиональном образовании есть возможность воспользоваться внебюджетными поступлениями от платных услуг, то общеобразовательные школы практически не имеют возможности привлечь дополнительные средства. В результате реальное недофинансирование образовательных учреждений </w:t>
      </w:r>
      <w:r>
        <w:rPr>
          <w:rFonts w:ascii="Times New Roman CYR" w:hAnsi="Times New Roman CYR" w:cs="Times New Roman CYR"/>
          <w:sz w:val="28"/>
          <w:szCs w:val="28"/>
        </w:rPr>
        <w:lastRenderedPageBreak/>
        <w:t>составляет до 50-60%.</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Тревогу вызывают также неудовлетворительное состояние имеющейся материально-технической базы, слабая обеспеченность педагогического процесса современными программно-методическими разработками, нехватка педагогических кадров и др. Существуют проблемы, связанные с нормативной правовой базой развития образования. </w:t>
      </w:r>
      <w:r>
        <w:rPr>
          <w:rFonts w:ascii="Times New Roman CYR" w:hAnsi="Times New Roman CYR" w:cs="Times New Roman CYR"/>
          <w:sz w:val="28"/>
          <w:szCs w:val="28"/>
        </w:rPr>
        <w:br/>
        <w:t xml:space="preserve">Эффективная реакция школы на внешние требования и изменения невозможна без учета ее внутренних возможностей. В условиях ограниченных финансовых ресурсов школа должна обеспечить в первую очередь эффективное использование своих внутренних ресурсов - человеческих, информационных, материальных, финансовых. Поэтому мощным внутренним фактором развития является потребность руководителей и педагогического коллектива работать по-новому. </w:t>
      </w:r>
      <w:r>
        <w:rPr>
          <w:rFonts w:ascii="Times New Roman CYR" w:hAnsi="Times New Roman CYR" w:cs="Times New Roman CYR"/>
          <w:sz w:val="28"/>
          <w:szCs w:val="28"/>
        </w:rPr>
        <w:br/>
        <w:t>Инновационное движение в образовании позволяет реализовать творческий потенциал руководителей и учителей. Именно поэтому большинство учителей ориентировано на изменения в деятельности школы. Так по данным социологического опроса, 39,3% учителей считали, что "школа находится в глубоком кризисе и требует коренных изменений", еще 57,0% опрошенных утверждали, что "школа нуждается в частичных изменениях".</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Актуальность исследования. Происходящие изменения в социально-экономическом устройстве России с начала 90-х годов, обусловившие реформирование сферы образования, предполагают коренные изменения и систем управления образованием на всех уровнях: федеральном, региональном, муниципальном. Потребность муниципального управления развитием образования как системы приводит к необходимости смены его целевых ориентиров, которые связаны с обеспечением социальной функции образования. Во-первых, это цели формирования единого образовательного пространства, </w:t>
      </w:r>
      <w:r>
        <w:rPr>
          <w:rFonts w:ascii="Times New Roman CYR" w:hAnsi="Times New Roman CYR" w:cs="Times New Roman CYR"/>
          <w:sz w:val="28"/>
          <w:szCs w:val="28"/>
        </w:rPr>
        <w:lastRenderedPageBreak/>
        <w:t>обеспечивающие высокоэффективную систему услуг и условий, отвечающих образовательным потребностям всех слоев и групп населения. Во-вторых, это цели формирования практики социализации и воспитания подрастающего поколения с учетом общечеловеческих ценностей и ценностей национальной культуры. В-третьих, это цели превращения образования в развивающую и развивающуюся систему, способную обеспечивать развитие личности и развитие местных общественных систем при условии корпоративного взаимодействия между всеми социальными институтами.</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Характер работы обусловил необходимость обращения к широкому кругу литературы и источников:</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вопросы разработки и реализации программ развития исследуются Т.П. Афанасьевой, В.И. Ерошиным, B.C. Лазаревым, М.М. Поташником, Т.И. Пуденко, С.А. Репиным и др.;</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организационные аспекты развития на примере крупного региона, города, округа исследуются в работах М.В. Артюхова, В.Н. Беспалова, Л.Л. Портянской, Н.П. Неворотовой, П.И. Третьякова и др.;</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экономические и правовые аспекты модернизации муниципальных образовательных комплексов разрабатываются Г.А. Балыхиным, А.Б. Вифлеемским, В.И. Ерошиным, Р.Ф. Шайхелисламовым и др.;</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значительное внимание эффективности управления уделяется в работах М.В. Артюхова, С.А. Гильманова, В.И. Загвязинского, Н.Д. Малахова, В.Л. Назарова, Т.И. Пуденко, П.И. Третьякова, Г.Н. Серикова, Р.Х. Шакурова и др.;</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 решение проблем государственно-общественного управления направлены исследования А.И. Адамского, В.И. Бочкарева, М.Н. Гулько, А.И. Кузнецова, В.А. Никитина, А.А. Пинского и др.;</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деятельности муниципальной методической службы по поддержке функционирования и развития образовательных учреждений посвящены </w:t>
      </w:r>
      <w:r>
        <w:rPr>
          <w:rFonts w:ascii="Times New Roman CYR" w:hAnsi="Times New Roman CYR" w:cs="Times New Roman CYR"/>
          <w:sz w:val="28"/>
          <w:szCs w:val="28"/>
        </w:rPr>
        <w:lastRenderedPageBreak/>
        <w:t>исследования Т.П. Афанасьевой, Д.А. Иванова, Н.В. Немовой и др.</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в настоящий момент в теории управления образовательными системами все условия развития недостаточно определены и обоснованы, что не позволяет в полной мере обеспечить процесс их создания. Актуальность разработки этой проблемы связана также с тем, что кроме инвариантных условий, характерных для уровня муниципальных систем образования, в каждой территории имеются вариативные, определяемые социальными, культурными, экономическими аспектами ее функционирования и развития на современном этапе. Недостаточная разработанность теоретических основ и научно-методического обеспечения процесса управления созданием условий, необходимых для эффективного развития муниципальной образовательной системы, обусловливает актуальность избранной темы исследования.</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Основной целью дипломной работы является разработка мероприятий, направленных на совершенствование системы управления сферой образования (на примере Щелковского муниципального района Московской области).</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Задачами дипломной работы являются:</w:t>
      </w:r>
    </w:p>
    <w:p w:rsidR="00FE5AE9" w:rsidRDefault="00920100">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Изучение понятия, сущности системы образования, управления системой образования на муниципальном уровне;</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анализ управления образованием на муниципальном уровне;</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выявление проблем стоящих перед муниципальным образованием и поиск путей их решения.</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Объектом исследования является система образования Чеховского района.</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Предметом исследования дипломной работы является организация, функционирование и управление системой образования Чеховского района.</w:t>
      </w:r>
    </w:p>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1. ТЕОРЕТИЧЕСКИЕ ОСНОВЫ СИСТЕМЫ УПРАВЛЕНИЯ СФЕРОЙ ОБРАЗОВАНИЯ</w:t>
      </w:r>
    </w:p>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1.1 Понятие и сущность системы общего образования, ее задачи</w:t>
      </w:r>
    </w:p>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Образование - это система организаций и лиц, осуществляющих образовательную деятельность. Таковой является передача одними людьми другим людям новых знаний, развитие у них новых умений и навыков.[1] Получение образования предстает как участие в образовательной деятельности в качестве реципиента передаваемых знаний.</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Традиционная технология осуществления образовательной деятельности заключается в проведении учителем (преподавателем) занятий с учащимся или группой учащихся, в ходе которых происходит передача определенным образом организованных знаний и формирование соответствующих умений и навыков. Передаваемые знания обычно структурируются в форме образовательных программ. Образовательная программа в широком понимании этого термина характеризуется определенным содержанием и направленностью передаваемых знаний, уровнем их сложности и временем, требуемым для их освоения.</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Образовательные программы и соответствующее им образование делятся на два типа:</w:t>
      </w:r>
    </w:p>
    <w:p w:rsidR="00FE5AE9" w:rsidRDefault="00920100">
      <w:pPr>
        <w:widowControl w:val="0"/>
        <w:tabs>
          <w:tab w:val="left" w:pos="0"/>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общее образование;</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профессиональное образование.</w:t>
      </w:r>
    </w:p>
    <w:p w:rsidR="00FE5AE9" w:rsidRDefault="00920100">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Каждый тип образования включает ряд уровней (ступеней), которые различаются по степени сложности. Распространенным является выделение двух основных ступеней общего образования:</w:t>
      </w:r>
    </w:p>
    <w:p w:rsidR="00FE5AE9" w:rsidRDefault="00920100">
      <w:pPr>
        <w:widowControl w:val="0"/>
        <w:tabs>
          <w:tab w:val="left" w:pos="0"/>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начальное (первичное) общее образование;</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lastRenderedPageBreak/>
        <w:t></w:t>
      </w:r>
      <w:r>
        <w:rPr>
          <w:rFonts w:ascii="Symbol" w:hAnsi="Symbol" w:cs="Symbol"/>
          <w:sz w:val="28"/>
          <w:szCs w:val="28"/>
        </w:rPr>
        <w:tab/>
      </w:r>
      <w:r>
        <w:rPr>
          <w:rFonts w:ascii="Times New Roman CYR" w:hAnsi="Times New Roman CYR" w:cs="Times New Roman CYR"/>
          <w:sz w:val="28"/>
          <w:szCs w:val="28"/>
        </w:rPr>
        <w:t>среднее (вторичное) общее образование.</w:t>
      </w:r>
    </w:p>
    <w:p w:rsidR="00FE5AE9" w:rsidRDefault="00920100">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профессиональном образовании выделяют три основных уровня:</w:t>
      </w:r>
    </w:p>
    <w:p w:rsidR="00FE5AE9" w:rsidRDefault="00920100">
      <w:pPr>
        <w:widowControl w:val="0"/>
        <w:tabs>
          <w:tab w:val="left" w:pos="0"/>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начальное;</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среднее;</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высшее.</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Длительность обучения на каждой ступени неодинакова в разных странах. Как правило, начальное общее образование рассчитано на обучение детей в возрасте от 5-7 лет в течение 3-4 лет, среднее общее - на 7-8 лет обучения, высшее профессиональное - на 4-6 лет.</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Организации, занимающиеся образовательной деятельностью, специализируются на разных типах и уровнях образования. Начальное и среднее общее образование предоставляется в начальных и средних школах; существуют специализированные учебные заведения начального и среднего профессионального образования; высшее профессиональное образование предоставляется высшими учебными заведениями (университетами, академиями, институтами). Участниками рыночных отношений являются образовательные учреждения, потребители (отдельные личности, организации и предприятия), посредники (службы занятости, биржи труда), государство (рис.1).</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Помимо указанных выше ступеней образования, существуют также иные типы образовательной деятельности, объединяемые понятием дополнительного образования. Это разнообразные курсы профессионального обучения, переподготовки, повышения квалификации и т.п.</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Россия унаследовала систему образования, созданную в советские времена. Ее главными характеристиками являлись: [21]</w:t>
      </w:r>
    </w:p>
    <w:p w:rsidR="00FE5AE9" w:rsidRDefault="00920100">
      <w:pPr>
        <w:widowControl w:val="0"/>
        <w:tabs>
          <w:tab w:val="left" w:pos="0"/>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Wingdings" w:hAnsi="Wingdings" w:cs="Wingdings"/>
          <w:sz w:val="28"/>
          <w:szCs w:val="28"/>
        </w:rPr>
        <w:t></w:t>
      </w:r>
      <w:r>
        <w:rPr>
          <w:rFonts w:ascii="Wingdings" w:hAnsi="Wingdings" w:cs="Wingdings"/>
          <w:sz w:val="28"/>
          <w:szCs w:val="28"/>
        </w:rPr>
        <w:tab/>
      </w:r>
      <w:r>
        <w:rPr>
          <w:rFonts w:ascii="Times New Roman CYR" w:hAnsi="Times New Roman CYR" w:cs="Times New Roman CYR"/>
          <w:sz w:val="28"/>
          <w:szCs w:val="28"/>
        </w:rPr>
        <w:t>право на бесплатное общее и начальное профессиональное образование для всего населения;</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Wingdings" w:hAnsi="Wingdings" w:cs="Wingdings"/>
          <w:sz w:val="28"/>
          <w:szCs w:val="28"/>
        </w:rPr>
        <w:t></w:t>
      </w:r>
      <w:r>
        <w:rPr>
          <w:rFonts w:ascii="Wingdings" w:hAnsi="Wingdings" w:cs="Wingdings"/>
          <w:sz w:val="28"/>
          <w:szCs w:val="28"/>
        </w:rPr>
        <w:tab/>
      </w:r>
      <w:r>
        <w:rPr>
          <w:rFonts w:ascii="Times New Roman CYR" w:hAnsi="Times New Roman CYR" w:cs="Times New Roman CYR"/>
          <w:sz w:val="28"/>
          <w:szCs w:val="28"/>
        </w:rPr>
        <w:t xml:space="preserve">право на получение на конкурсной основе бесплатного среднего и </w:t>
      </w:r>
      <w:r>
        <w:rPr>
          <w:rFonts w:ascii="Times New Roman CYR" w:hAnsi="Times New Roman CYR" w:cs="Times New Roman CYR"/>
          <w:sz w:val="28"/>
          <w:szCs w:val="28"/>
        </w:rPr>
        <w:lastRenderedPageBreak/>
        <w:t>высшего профессионального образования;</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Wingdings" w:hAnsi="Wingdings" w:cs="Wingdings"/>
          <w:sz w:val="28"/>
          <w:szCs w:val="28"/>
        </w:rPr>
        <w:t></w:t>
      </w:r>
      <w:r>
        <w:rPr>
          <w:rFonts w:ascii="Wingdings" w:hAnsi="Wingdings" w:cs="Wingdings"/>
          <w:sz w:val="28"/>
          <w:szCs w:val="28"/>
        </w:rPr>
        <w:tab/>
      </w:r>
      <w:r>
        <w:rPr>
          <w:rFonts w:ascii="Times New Roman CYR" w:hAnsi="Times New Roman CYR" w:cs="Times New Roman CYR"/>
          <w:sz w:val="28"/>
          <w:szCs w:val="28"/>
        </w:rPr>
        <w:t>финансирование образования из государственного бюджета и частично - за счет средств государственных предприятий;</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Wingdings" w:hAnsi="Wingdings" w:cs="Wingdings"/>
          <w:sz w:val="28"/>
          <w:szCs w:val="28"/>
        </w:rPr>
        <w:t></w:t>
      </w:r>
      <w:r>
        <w:rPr>
          <w:rFonts w:ascii="Wingdings" w:hAnsi="Wingdings" w:cs="Wingdings"/>
          <w:sz w:val="28"/>
          <w:szCs w:val="28"/>
        </w:rPr>
        <w:tab/>
      </w:r>
      <w:r>
        <w:rPr>
          <w:rFonts w:ascii="Times New Roman CYR" w:hAnsi="Times New Roman CYR" w:cs="Times New Roman CYR"/>
          <w:sz w:val="28"/>
          <w:szCs w:val="28"/>
        </w:rPr>
        <w:t>предоставление образовательных услуг государственными образовательными учреждениями;</w:t>
      </w:r>
    </w:p>
    <w:p w:rsidR="00FE5AE9" w:rsidRDefault="00920100">
      <w:pPr>
        <w:widowControl w:val="0"/>
        <w:tabs>
          <w:tab w:val="left" w:pos="1134"/>
          <w:tab w:val="left" w:pos="142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Wingdings" w:hAnsi="Wingdings" w:cs="Wingdings"/>
          <w:sz w:val="28"/>
          <w:szCs w:val="28"/>
        </w:rPr>
        <w:t></w:t>
      </w:r>
      <w:r>
        <w:rPr>
          <w:rFonts w:ascii="Wingdings" w:hAnsi="Wingdings" w:cs="Wingdings"/>
          <w:sz w:val="28"/>
          <w:szCs w:val="28"/>
        </w:rPr>
        <w:tab/>
      </w:r>
      <w:r>
        <w:rPr>
          <w:rFonts w:ascii="Times New Roman CYR" w:hAnsi="Times New Roman CYR" w:cs="Times New Roman CYR"/>
          <w:sz w:val="28"/>
          <w:szCs w:val="28"/>
        </w:rPr>
        <w:t>централизованная система административного управления.</w:t>
      </w:r>
    </w:p>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1B7D3A">
      <w:pPr>
        <w:widowControl w:val="0"/>
        <w:autoSpaceDE w:val="0"/>
        <w:autoSpaceDN w:val="0"/>
        <w:adjustRightInd w:val="0"/>
        <w:spacing w:after="0" w:line="240" w:lineRule="auto"/>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5532755" cy="76796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32755" cy="7679690"/>
                    </a:xfrm>
                    <a:prstGeom prst="rect">
                      <a:avLst/>
                    </a:prstGeom>
                    <a:noFill/>
                    <a:ln>
                      <a:noFill/>
                    </a:ln>
                  </pic:spPr>
                </pic:pic>
              </a:graphicData>
            </a:graphic>
          </wp:inline>
        </w:drawing>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Рис.1. Структура рынка образовательных учреждений</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Компетенция органов власти субъектов РФ в области образования функционально практически идентична компетенции органов федеральной власти, за исключением того, что относится она к образовательным учреждениям регионального подчинения (табл.1).</w:t>
      </w:r>
    </w:p>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 Организационная структура управления образованием РФ</w:t>
      </w:r>
    </w:p>
    <w:tbl>
      <w:tblPr>
        <w:tblW w:w="0" w:type="auto"/>
        <w:tblInd w:w="42" w:type="dxa"/>
        <w:tblBorders>
          <w:top w:val="single" w:sz="4" w:space="0" w:color="auto"/>
          <w:left w:val="single" w:sz="4" w:space="0" w:color="auto"/>
          <w:bottom w:val="single" w:sz="4" w:space="0" w:color="auto"/>
          <w:right w:val="single" w:sz="4" w:space="0" w:color="auto"/>
        </w:tblBorders>
        <w:tblLayout w:type="fixed"/>
        <w:tblCellMar>
          <w:left w:w="150" w:type="dxa"/>
          <w:right w:w="150" w:type="dxa"/>
        </w:tblCellMar>
        <w:tblLook w:val="0000" w:firstRow="0" w:lastRow="0" w:firstColumn="0" w:lastColumn="0" w:noHBand="0" w:noVBand="0"/>
      </w:tblPr>
      <w:tblGrid>
        <w:gridCol w:w="1668"/>
        <w:gridCol w:w="2970"/>
        <w:gridCol w:w="4542"/>
      </w:tblGrid>
      <w:tr w:rsidR="00FE5AE9">
        <w:tc>
          <w:tcPr>
            <w:tcW w:w="1668"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Уровень управления</w:t>
            </w:r>
          </w:p>
        </w:tc>
        <w:tc>
          <w:tcPr>
            <w:tcW w:w="297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Орган управления</w:t>
            </w:r>
          </w:p>
        </w:tc>
        <w:tc>
          <w:tcPr>
            <w:tcW w:w="454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Примечание</w:t>
            </w:r>
          </w:p>
        </w:tc>
      </w:tr>
      <w:tr w:rsidR="00FE5AE9">
        <w:tc>
          <w:tcPr>
            <w:tcW w:w="1668"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Федеральный</w:t>
            </w:r>
          </w:p>
        </w:tc>
        <w:tc>
          <w:tcPr>
            <w:tcW w:w="297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Министерство образования и науки</w:t>
            </w:r>
          </w:p>
        </w:tc>
        <w:tc>
          <w:tcPr>
            <w:tcW w:w="4542" w:type="dxa"/>
            <w:tcBorders>
              <w:top w:val="single" w:sz="6" w:space="0" w:color="auto"/>
              <w:left w:val="single" w:sz="6" w:space="0" w:color="auto"/>
              <w:bottom w:val="single" w:sz="6" w:space="0" w:color="auto"/>
              <w:right w:val="single" w:sz="6" w:space="0" w:color="auto"/>
            </w:tcBorders>
          </w:tcPr>
          <w:p w:rsidR="00FE5AE9" w:rsidRDefault="00FE5AE9">
            <w:pPr>
              <w:widowControl w:val="0"/>
              <w:autoSpaceDE w:val="0"/>
              <w:autoSpaceDN w:val="0"/>
              <w:adjustRightInd w:val="0"/>
              <w:spacing w:after="0" w:line="240" w:lineRule="auto"/>
              <w:rPr>
                <w:rFonts w:ascii="Times New Roman CYR" w:hAnsi="Times New Roman CYR" w:cs="Times New Roman CYR"/>
                <w:sz w:val="20"/>
                <w:szCs w:val="20"/>
              </w:rPr>
            </w:pPr>
          </w:p>
        </w:tc>
      </w:tr>
      <w:tr w:rsidR="00FE5AE9">
        <w:tc>
          <w:tcPr>
            <w:tcW w:w="1668"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Региональный</w:t>
            </w:r>
          </w:p>
        </w:tc>
        <w:tc>
          <w:tcPr>
            <w:tcW w:w="297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Департамент образования</w:t>
            </w:r>
          </w:p>
        </w:tc>
        <w:tc>
          <w:tcPr>
            <w:tcW w:w="454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Возможные структуры: Департамент образования при Правительстве области, края, республики; Комитет по образованию; Управление народного образования Министерство образования республики; и т.д.</w:t>
            </w:r>
          </w:p>
        </w:tc>
      </w:tr>
      <w:tr w:rsidR="00FE5AE9">
        <w:tc>
          <w:tcPr>
            <w:tcW w:w="1668"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Муниципальный</w:t>
            </w:r>
          </w:p>
        </w:tc>
        <w:tc>
          <w:tcPr>
            <w:tcW w:w="297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Муниципальный</w:t>
            </w:r>
          </w:p>
        </w:tc>
        <w:tc>
          <w:tcPr>
            <w:tcW w:w="454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Возможные структуры: Городской (поселковый, сельский и т.д.) комитет образования; Городской отдел образования;  Управление образования при администрации города; и т.д.</w:t>
            </w:r>
          </w:p>
        </w:tc>
      </w:tr>
    </w:tbl>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Федерация, согласно Федеральному Закону «Об образовании», определяет общие правовые рамки функционирования системы образования и политику государства в этой сфере.</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Субъекты федерации несут ответственность за практическое воплощение федеральной политики и за принятие решений, касающихся региональных особенностей образовательной системы. Обязанностью муниципальных органов является осуществление повседневного текущего управления местной системой образования.</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Субъектам федерации вменено также финансовое подкрепление государственных гарантий доступности, бесплатности и обязательности среднего образования путем выделения субвенций местным бюджетам. Здесь имеется в виду право соответствующих органов устанавливать местные налоги и сборы на нужды образования и определять дополнительные к федеральным льготы и нормы материально-технического обеспечения учащихся и </w:t>
      </w:r>
      <w:r>
        <w:rPr>
          <w:rFonts w:ascii="Times New Roman CYR" w:hAnsi="Times New Roman CYR" w:cs="Times New Roman CYR"/>
          <w:sz w:val="28"/>
          <w:szCs w:val="28"/>
        </w:rPr>
        <w:lastRenderedPageBreak/>
        <w:t>педагогических работников. Региональный уровень управления ответственен также за установление национально-региональных компонентов государственных образовательных стандартов. [26 ]</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Каждый уровень власти ответственен за определенный уровень образования (табл.2).</w:t>
      </w:r>
    </w:p>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 Уровни управления системой образования</w:t>
      </w:r>
    </w:p>
    <w:tbl>
      <w:tblPr>
        <w:tblW w:w="0" w:type="auto"/>
        <w:tblInd w:w="42" w:type="dxa"/>
        <w:tblBorders>
          <w:top w:val="single" w:sz="4" w:space="0" w:color="auto"/>
          <w:left w:val="single" w:sz="4" w:space="0" w:color="auto"/>
          <w:bottom w:val="single" w:sz="4" w:space="0" w:color="auto"/>
          <w:right w:val="single" w:sz="4" w:space="0" w:color="auto"/>
        </w:tblBorders>
        <w:tblLayout w:type="fixed"/>
        <w:tblCellMar>
          <w:left w:w="150" w:type="dxa"/>
          <w:right w:w="150" w:type="dxa"/>
        </w:tblCellMar>
        <w:tblLook w:val="0000" w:firstRow="0" w:lastRow="0" w:firstColumn="0" w:lastColumn="0" w:noHBand="0" w:noVBand="0"/>
      </w:tblPr>
      <w:tblGrid>
        <w:gridCol w:w="2952"/>
        <w:gridCol w:w="3819"/>
        <w:gridCol w:w="2472"/>
      </w:tblGrid>
      <w:tr w:rsidR="00FE5AE9">
        <w:tc>
          <w:tcPr>
            <w:tcW w:w="295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Федеральный уровень</w:t>
            </w:r>
          </w:p>
        </w:tc>
        <w:tc>
          <w:tcPr>
            <w:tcW w:w="3819"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Региональный уровень</w:t>
            </w:r>
          </w:p>
        </w:tc>
        <w:tc>
          <w:tcPr>
            <w:tcW w:w="247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Муниципальный уровень</w:t>
            </w:r>
          </w:p>
        </w:tc>
      </w:tr>
      <w:tr w:rsidR="00FE5AE9">
        <w:tc>
          <w:tcPr>
            <w:tcW w:w="295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Начальное профессиональное</w:t>
            </w:r>
          </w:p>
        </w:tc>
        <w:tc>
          <w:tcPr>
            <w:tcW w:w="3819"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Начальное профессиональное(в 19 регионах)</w:t>
            </w:r>
          </w:p>
        </w:tc>
        <w:tc>
          <w:tcPr>
            <w:tcW w:w="247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Дошкольное</w:t>
            </w:r>
          </w:p>
        </w:tc>
      </w:tr>
      <w:tr w:rsidR="00FE5AE9">
        <w:tc>
          <w:tcPr>
            <w:tcW w:w="295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Среднее профессиональное</w:t>
            </w:r>
          </w:p>
        </w:tc>
        <w:tc>
          <w:tcPr>
            <w:tcW w:w="3819"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Среднее профессиональное</w:t>
            </w:r>
          </w:p>
        </w:tc>
        <w:tc>
          <w:tcPr>
            <w:tcW w:w="247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Общее среднее</w:t>
            </w:r>
          </w:p>
        </w:tc>
      </w:tr>
      <w:tr w:rsidR="00FE5AE9">
        <w:tc>
          <w:tcPr>
            <w:tcW w:w="295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Высшее профессиональное</w:t>
            </w:r>
          </w:p>
        </w:tc>
        <w:tc>
          <w:tcPr>
            <w:tcW w:w="3819"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Профессиональная подготовка взрослых</w:t>
            </w:r>
          </w:p>
        </w:tc>
        <w:tc>
          <w:tcPr>
            <w:tcW w:w="247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Высшее</w:t>
            </w:r>
          </w:p>
        </w:tc>
      </w:tr>
    </w:tbl>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FE5AE9" w:rsidRDefault="0092010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Реализацию государственной политики и руководство российским образованием на федеральном уровне осуществляет Министерство образования и науки РФ. &lt;http://www.ed.gov.ru&gt; В своей деятельности оно опирается на российское законодательство и "Положение о Министерстве образования и науки Российской Федерации" &lt;http://www.ed.gov.ru/min/pravo/1380/&gt;.</w:t>
      </w:r>
    </w:p>
    <w:p w:rsidR="00FE5AE9" w:rsidRDefault="0092010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Изменения, происходившие в 1990-е гг. в сфере образования, касались, прежде всего, ее организационно-технологической составляющей. Произошли существенные перемены в содержании образовательных программ, ликвидирована всеобщая их унификация, активно шел процесс внедрения и распространения инновационных (авторских) программ обучения, возникла ситуация альтернативности образовательных программ, в последние годы стала развиваться новая форма получения образования - дистанционное обучение, появились новые виды образовательных организаций. Произошли изменения в институциональной структуре образовательных организаций: возник сектор негосударственного образования [21].</w:t>
      </w:r>
    </w:p>
    <w:p w:rsidR="00FE5AE9" w:rsidRDefault="0092010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2009 г. в Российской Федерации работало 51,3 тыс. дошкольных учреждений, в которых воспитывалось 4,3 млн. детей (56% детей дошкольного возраста) [25]. Если до 1990 г. сеть дошкольных учреждений постоянно расширялась, то в 1990-е гг. их количество уменьшилось на 42%. Это было вызвано сокращением численности детей, экономической невозможностью для многих предприятий продолжать содержать на своем балансе дошкольные учреждения, а также снижением спроса родителей на услуги дошкольных учреждений из-за сокращения реальных доходов и появления возможностей тратить больше времени на воспитание детей вследствие неполной занятости на работе или проблем с трудоустройством.</w:t>
      </w:r>
    </w:p>
    <w:p w:rsidR="00FE5AE9" w:rsidRDefault="0092010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В 2008/2009 уч. г. в России работали 66,4 тыс. дневных государственных общеобразовательных школ, в которых обучалось 20 млн. школьников. Длительность получения общего образования составляет 10 или 11 лет, если по желанию родителей ребенок идет в школу с шести лет. Для сравнения, в большинстве стран с развитой экономикой получение общего образования занимает 12-13 лет.</w:t>
      </w:r>
    </w:p>
    <w:p w:rsidR="00FE5AE9" w:rsidRDefault="00FE5AE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FE5AE9" w:rsidRDefault="0092010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Таблица 3 Основные показатели развития сферы образования в России</w:t>
      </w:r>
    </w:p>
    <w:tbl>
      <w:tblPr>
        <w:tblW w:w="0" w:type="auto"/>
        <w:tblInd w:w="-68" w:type="dxa"/>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000" w:firstRow="0" w:lastRow="0" w:firstColumn="0" w:lastColumn="0" w:noHBand="0" w:noVBand="0"/>
      </w:tblPr>
      <w:tblGrid>
        <w:gridCol w:w="4068"/>
        <w:gridCol w:w="1002"/>
        <w:gridCol w:w="992"/>
        <w:gridCol w:w="992"/>
        <w:gridCol w:w="992"/>
        <w:gridCol w:w="1142"/>
      </w:tblGrid>
      <w:tr w:rsidR="00FE5AE9">
        <w:tc>
          <w:tcPr>
            <w:tcW w:w="4068"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00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1970 г.</w:t>
            </w:r>
          </w:p>
        </w:tc>
        <w:tc>
          <w:tcPr>
            <w:tcW w:w="99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1980 г.</w:t>
            </w:r>
          </w:p>
        </w:tc>
        <w:tc>
          <w:tcPr>
            <w:tcW w:w="99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1990 г.</w:t>
            </w:r>
          </w:p>
        </w:tc>
        <w:tc>
          <w:tcPr>
            <w:tcW w:w="99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2000 г.</w:t>
            </w:r>
          </w:p>
        </w:tc>
        <w:tc>
          <w:tcPr>
            <w:tcW w:w="114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 г.</w:t>
            </w:r>
          </w:p>
        </w:tc>
      </w:tr>
      <w:tr w:rsidR="00FE5AE9">
        <w:tc>
          <w:tcPr>
            <w:tcW w:w="4068"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Детские дошкольные учреждения, тыс. в них детей, млн. человек</w:t>
            </w:r>
          </w:p>
        </w:tc>
        <w:tc>
          <w:tcPr>
            <w:tcW w:w="100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65,0 5,7</w:t>
            </w:r>
          </w:p>
        </w:tc>
        <w:tc>
          <w:tcPr>
            <w:tcW w:w="99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74,5 8,1</w:t>
            </w:r>
          </w:p>
        </w:tc>
        <w:tc>
          <w:tcPr>
            <w:tcW w:w="99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87,9 9,0</w:t>
            </w:r>
          </w:p>
        </w:tc>
        <w:tc>
          <w:tcPr>
            <w:tcW w:w="99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68,6 5,6</w:t>
            </w:r>
          </w:p>
        </w:tc>
        <w:tc>
          <w:tcPr>
            <w:tcW w:w="114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51,3 4,3</w:t>
            </w:r>
          </w:p>
        </w:tc>
      </w:tr>
      <w:tr w:rsidR="00FE5AE9">
        <w:tc>
          <w:tcPr>
            <w:tcW w:w="4068"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Государственные дневные общеобразовательные учреждения, тыс. в них учащихся, млн. человек</w:t>
            </w:r>
          </w:p>
        </w:tc>
        <w:tc>
          <w:tcPr>
            <w:tcW w:w="100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96,9 23,2</w:t>
            </w:r>
          </w:p>
        </w:tc>
        <w:tc>
          <w:tcPr>
            <w:tcW w:w="99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68,8 17,6</w:t>
            </w:r>
          </w:p>
        </w:tc>
        <w:tc>
          <w:tcPr>
            <w:tcW w:w="99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67,6 20,3</w:t>
            </w:r>
          </w:p>
        </w:tc>
        <w:tc>
          <w:tcPr>
            <w:tcW w:w="99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68,4 21,5</w:t>
            </w:r>
          </w:p>
        </w:tc>
        <w:tc>
          <w:tcPr>
            <w:tcW w:w="114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66,4 20,0</w:t>
            </w:r>
          </w:p>
        </w:tc>
      </w:tr>
      <w:tr w:rsidR="00FE5AE9">
        <w:tc>
          <w:tcPr>
            <w:tcW w:w="4068"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Численность учителей на 1000 учащихся</w:t>
            </w:r>
          </w:p>
        </w:tc>
        <w:tc>
          <w:tcPr>
            <w:tcW w:w="100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55,8</w:t>
            </w:r>
          </w:p>
        </w:tc>
        <w:tc>
          <w:tcPr>
            <w:tcW w:w="99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64,3</w:t>
            </w:r>
          </w:p>
        </w:tc>
        <w:tc>
          <w:tcPr>
            <w:tcW w:w="99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70,6</w:t>
            </w:r>
          </w:p>
        </w:tc>
        <w:tc>
          <w:tcPr>
            <w:tcW w:w="99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78,4</w:t>
            </w:r>
          </w:p>
        </w:tc>
        <w:tc>
          <w:tcPr>
            <w:tcW w:w="114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85,3</w:t>
            </w:r>
          </w:p>
        </w:tc>
      </w:tr>
      <w:tr w:rsidR="00FE5AE9">
        <w:tc>
          <w:tcPr>
            <w:tcW w:w="4068"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Негосударственные дневные общеобразовательные учреждения в них учащихся, тыс. человек</w:t>
            </w:r>
          </w:p>
        </w:tc>
        <w:tc>
          <w:tcPr>
            <w:tcW w:w="100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525 45,8</w:t>
            </w:r>
          </w:p>
        </w:tc>
        <w:tc>
          <w:tcPr>
            <w:tcW w:w="114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635 60,6</w:t>
            </w:r>
          </w:p>
        </w:tc>
      </w:tr>
      <w:tr w:rsidR="00FE5AE9">
        <w:tc>
          <w:tcPr>
            <w:tcW w:w="4068"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Учреждения начального профессионального образования в них учащихся, млн. человек</w:t>
            </w:r>
          </w:p>
        </w:tc>
        <w:tc>
          <w:tcPr>
            <w:tcW w:w="100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3257 1,4</w:t>
            </w:r>
          </w:p>
        </w:tc>
        <w:tc>
          <w:tcPr>
            <w:tcW w:w="99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4045 1,9</w:t>
            </w:r>
          </w:p>
        </w:tc>
        <w:tc>
          <w:tcPr>
            <w:tcW w:w="99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4328 1,9</w:t>
            </w:r>
          </w:p>
        </w:tc>
        <w:tc>
          <w:tcPr>
            <w:tcW w:w="99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4203 1,7</w:t>
            </w:r>
          </w:p>
        </w:tc>
        <w:tc>
          <w:tcPr>
            <w:tcW w:w="114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3893 1,7</w:t>
            </w:r>
          </w:p>
        </w:tc>
      </w:tr>
      <w:tr w:rsidR="00FE5AE9">
        <w:tc>
          <w:tcPr>
            <w:tcW w:w="4068"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Средние специальные учебные заведения в них студентов, млн.человек</w:t>
            </w:r>
          </w:p>
        </w:tc>
        <w:tc>
          <w:tcPr>
            <w:tcW w:w="100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2423 2,6</w:t>
            </w:r>
          </w:p>
        </w:tc>
        <w:tc>
          <w:tcPr>
            <w:tcW w:w="99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2505 2,6</w:t>
            </w:r>
          </w:p>
        </w:tc>
        <w:tc>
          <w:tcPr>
            <w:tcW w:w="99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2603 2,3</w:t>
            </w:r>
          </w:p>
        </w:tc>
        <w:tc>
          <w:tcPr>
            <w:tcW w:w="99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2634 1,9</w:t>
            </w:r>
          </w:p>
        </w:tc>
        <w:tc>
          <w:tcPr>
            <w:tcW w:w="114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2703 2,4</w:t>
            </w:r>
          </w:p>
        </w:tc>
      </w:tr>
      <w:tr w:rsidR="00FE5AE9">
        <w:tc>
          <w:tcPr>
            <w:tcW w:w="4068"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Государственные высшие учебные заведения в них студентов, млн.человек</w:t>
            </w:r>
          </w:p>
        </w:tc>
        <w:tc>
          <w:tcPr>
            <w:tcW w:w="100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457 2,7</w:t>
            </w:r>
          </w:p>
        </w:tc>
        <w:tc>
          <w:tcPr>
            <w:tcW w:w="99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494 3,0</w:t>
            </w:r>
          </w:p>
        </w:tc>
        <w:tc>
          <w:tcPr>
            <w:tcW w:w="99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514 3,0</w:t>
            </w:r>
          </w:p>
        </w:tc>
        <w:tc>
          <w:tcPr>
            <w:tcW w:w="99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569 2,7</w:t>
            </w:r>
          </w:p>
        </w:tc>
        <w:tc>
          <w:tcPr>
            <w:tcW w:w="114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607 4,3</w:t>
            </w:r>
          </w:p>
        </w:tc>
      </w:tr>
      <w:tr w:rsidR="00FE5AE9">
        <w:tc>
          <w:tcPr>
            <w:tcW w:w="4068"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Негосударственные высшие учебные заведения в них студентов, тыс. человек</w:t>
            </w:r>
          </w:p>
        </w:tc>
        <w:tc>
          <w:tcPr>
            <w:tcW w:w="100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193 135,5</w:t>
            </w:r>
          </w:p>
        </w:tc>
        <w:tc>
          <w:tcPr>
            <w:tcW w:w="114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358 470,6</w:t>
            </w:r>
          </w:p>
        </w:tc>
      </w:tr>
      <w:tr w:rsidR="00FE5AE9">
        <w:tc>
          <w:tcPr>
            <w:tcW w:w="4068"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Численность студентов вузов на 10 тыс. населения</w:t>
            </w:r>
          </w:p>
        </w:tc>
        <w:tc>
          <w:tcPr>
            <w:tcW w:w="100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204</w:t>
            </w:r>
          </w:p>
        </w:tc>
        <w:tc>
          <w:tcPr>
            <w:tcW w:w="99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219</w:t>
            </w:r>
          </w:p>
        </w:tc>
        <w:tc>
          <w:tcPr>
            <w:tcW w:w="99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190</w:t>
            </w:r>
          </w:p>
        </w:tc>
        <w:tc>
          <w:tcPr>
            <w:tcW w:w="99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189</w:t>
            </w:r>
          </w:p>
        </w:tc>
        <w:tc>
          <w:tcPr>
            <w:tcW w:w="114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327</w:t>
            </w:r>
          </w:p>
        </w:tc>
      </w:tr>
      <w:tr w:rsidR="00FE5AE9">
        <w:tc>
          <w:tcPr>
            <w:tcW w:w="4068"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Численность выпускников вузов на 10 тыс. населения</w:t>
            </w:r>
          </w:p>
        </w:tc>
        <w:tc>
          <w:tcPr>
            <w:tcW w:w="100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c>
          <w:tcPr>
            <w:tcW w:w="99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w:t>
            </w:r>
          </w:p>
        </w:tc>
        <w:tc>
          <w:tcPr>
            <w:tcW w:w="99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w:t>
            </w:r>
          </w:p>
        </w:tc>
        <w:tc>
          <w:tcPr>
            <w:tcW w:w="99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w:t>
            </w:r>
          </w:p>
        </w:tc>
        <w:tc>
          <w:tcPr>
            <w:tcW w:w="114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w:t>
            </w:r>
          </w:p>
        </w:tc>
      </w:tr>
    </w:tbl>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2009 г. в России насчитывалось 3893 учебных заведения начального профессионального образования с численностью учащихся 1679тыс. В 1990-е гг. заметно уменьшилась роль учреждений начального профессионального образования в обучении молодежи. За период 2000-2009 гг. количество этих организаций и численность учащихся в них сократились на 10%. Государственное финансирование начального профессионального образования осуществляется из средств местных бюджетов и бюджетов субъектов федерации.</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начало 2009/2010 уч. г. российская система образования включала 2589 средних специальных учебных заведений, в которых среднее профессиональное образование получали 2,3 млн. студентов. Наметившееся с конца 1980-х гг. </w:t>
      </w:r>
      <w:r>
        <w:rPr>
          <w:rFonts w:ascii="Times New Roman CYR" w:hAnsi="Times New Roman CYR" w:cs="Times New Roman CYR"/>
          <w:sz w:val="28"/>
          <w:szCs w:val="28"/>
        </w:rPr>
        <w:lastRenderedPageBreak/>
        <w:t>сокращение приема в техникумы сменилось с 1997 г. его ростом. В составе учебных заведений среднего профессионального образования сформировалось 989 колледжей, осуществляющих подготовку 1,1 млн. студентов. Негосударственные образовательные учреждения в сфере среднего профессионального образования пока еще немногочисленны: на начало 2001 г. в стране насчитывалось 114 негосударственных средних специальных учебных заведений (4,2% общего количества), в которых обучалось 52,2 тыс. студентов (2,2% всех студентов).</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Система высшего профессионального образования в России включает широкую сеть государственных и негосударственных образовательных организаций. На начало 2009/ 2010 уч. г. в Российской Федерации действовало 607 государственных высших учебных заведения, в которых обучалось 4,3 млн. студентов. Сеть государственных вузов ежегодно растет. </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 особенно впечатляющим является рост негосударственных вузов. За восемь лет после принятия в 1992 г. закона "Об образовании", разрешившего создание негосударственных образовательных организаций, в России было создано 358 негосударственных вузов, в которых в 2000 г. обучалась 471 тыс. студентов (9,9% общей численности студентов всех российских вузов).</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Система дополнительного образования включает образовательные программы и услуги, реализуемые в организациях общего и профессионального образования за пределами их основных образовательных программ и в специализированных организациях дополнительного образования, таких, как учреждения повышения квалификации, курсы, центры профессиональной ориентации, музыкальные и художественные школы, дома детского творчества и тд. К системе дополнительного образования относится также индивидуальная педагогическая деятельность (репетиторство, частные уроки и т.п.). В 2009 г. в России работало 8,6 тыс. учреждений дополнительного образования детей, в </w:t>
      </w:r>
      <w:r>
        <w:rPr>
          <w:rFonts w:ascii="Times New Roman CYR" w:hAnsi="Times New Roman CYR" w:cs="Times New Roman CYR"/>
          <w:sz w:val="28"/>
          <w:szCs w:val="28"/>
        </w:rPr>
        <w:lastRenderedPageBreak/>
        <w:t>которых обучались 7,6 млн. человек. Более 1,1 млн. человек прошли обучение в 1350 учреждениях и структурных подразделениях высших и средних специальных учебных заведений, реализующих дополнительные образовательные программы повышения квалификации и профессиональной переподготовки специалистов.</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Изъяны рынка образовательных услуг в сочетании с ценностными представлениями о правах граждан на получение образования обусловливают необходимость участия государства в осуществлении образовательной деятельности. Государственное участие требуется для обеспечения граждан более достоверной информацией о качестве образовательных услуг, для ограничения возможностей производителей образовательных услуг извлекать выгоды из своего монопольного положения, для распределения ресурсов в сфере образования с учетом внешних эффектов потребления образовательных услуг, для обеспечения доступности образования всем членам общества.</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Государство принимает участие в образовательной деятельности во всех странах мира. Основными функциями, выполняемыми государством в сфере образования, являются [13]:</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регулирование образовательной деятельности: лицензирование, установление образовательных стандартов, контроль за их соблюдением;</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организация обучения в государственных учебных заведениях;</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финансирование получения населением определенных уровней и видов образования.</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Право заниматься образовательной деятельностью обычно обусловливается получением лицензии, выдаваемой государственными или иными органами, наделенными государством такими полномочиями.</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Государство в очень многих странах гарантирует обеспечение доступа каждого человека к некоторому базовому образованию. Практически </w:t>
      </w:r>
      <w:r>
        <w:rPr>
          <w:rFonts w:ascii="Times New Roman CYR" w:hAnsi="Times New Roman CYR" w:cs="Times New Roman CYR"/>
          <w:sz w:val="28"/>
          <w:szCs w:val="28"/>
        </w:rPr>
        <w:lastRenderedPageBreak/>
        <w:t>повсеместно государство обеспечивает бесплатное получение базового образования, используя для этого систему государственных школ или общественных школ, созданных местными сообществами. [26 ]</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счет бюджетных средств финансируется деятельность государственных учреждений, предоставляющих базовое образование. Во многих случаях государство финансирует также частные школы наравне с государственными, обеспечивая таким образом гарантии получения базового образования вне зависимости от принадлежности образовательной организации.</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нами были рассмотрены понятие, сущность системы общего образования, ее задачи. В соответствии с задачами дипломной работы, перейдем к рассмотрению системы управления образованием на муниципальном уровне.</w:t>
      </w:r>
    </w:p>
    <w:p w:rsidR="00FE5AE9" w:rsidRDefault="00920100">
      <w:pPr>
        <w:widowControl w:val="0"/>
        <w:autoSpaceDE w:val="0"/>
        <w:autoSpaceDN w:val="0"/>
        <w:adjustRightInd w:val="0"/>
        <w:spacing w:after="0" w:line="360" w:lineRule="auto"/>
        <w:ind w:firstLine="709"/>
        <w:jc w:val="center"/>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система управление общеобразовательный муниципальный</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br w:type="page"/>
      </w:r>
      <w:r>
        <w:rPr>
          <w:rFonts w:ascii="Times New Roman CYR" w:hAnsi="Times New Roman CYR" w:cs="Times New Roman CYR"/>
          <w:caps/>
          <w:sz w:val="28"/>
          <w:szCs w:val="28"/>
        </w:rPr>
        <w:lastRenderedPageBreak/>
        <w:t>1.2 Система управления образованием на муниципальном уровне</w:t>
      </w:r>
    </w:p>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Образование - масштабная бюджетная отрасль социальной сферы жизни государства, представляющая собой многоуровневую территориально-распределённую социокультурную систему. Её первый уровень управления - это совершенно новый для нашей страны муниципальный уровень управления сетью образовательных учреждений различных типов, расположенных на территории муниципального района.</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Требования к содержанию образования в муниципальной системе района определены Законом Российской Федерации "Об образовании" [1].</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Содержание образования в конкретном образовательном учреждении определяется образовательной программой (образовательными программами), разрабатываемой, принимаемой и реализуемой этим образовательным учреждением самостоятельно. Государственные органы управления образованием обеспечивают разработку на основе государственных образовательных стандартов примерные образовательные программы.</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Образовательное учреждение в соответствии со своими уставными целями и задачами может реализовывать дополнительные образовательные программы и оказывать дополнительные образовательные услуги (на договорной основе) за пределами определяющих его статус образовательных программ.</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Образовательная программа определяет содержание образования определенных уровня и направленности. В Российской Федерации реализуются: общеобразовательные (основные и дополнительные), профессиональные (основные и дополнительные) образовательные программы.</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общеобразовательным относятся программы:</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Дошкольного образования.</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Начального общего образования.</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Основного общего образования.</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Среднего (полного) общего образования.</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Российской Федерации устанавливаются государственные образовательные стандарты. Государственные образовательные стандарты определяют в обязательном порядке обязательный минимум содержания основных образовательных программ, максимальный объем учебной нагрузки обучающихся, требования к уровню подготовки выпускников.</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Освоение образовательных программ основного общего (9 класс), среднего (полного) общего (11 (12) кл.) образования завершается обязательной итоговой аттестацией выпускников.</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Обязательный минимум содержания основной общеобразовательной программы, установленный государственным образовательным стандартом, реализуется во всех муниципальных общеобразовательных учреждениях и дошкольных образовательных учреждениях.</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Управление образования, в соответствии с возложенными на него задачами в области образования, выполняет следующие функции:</w:t>
      </w:r>
    </w:p>
    <w:p w:rsidR="00FE5AE9" w:rsidRDefault="00920100">
      <w:pPr>
        <w:widowControl w:val="0"/>
        <w:tabs>
          <w:tab w:val="left" w:pos="0"/>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Разрабатывает, реализует городскую целевую программу в области образования, а также региональную - в пределах своей компетенции.</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Обеспечивает разработку и реализацию перспективных направлений развития материально-технической базы, учебной и компьютерной техники, пособий и оборудования для оснащения образовательных учреждений, учебно-методических материалов.</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Реализует единую политику в области внедрения новых педагогических и информационных технологий.</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Обеспечивает контроль над реализацией Федерального законодательства, законодательства Московской области и разрабатывает </w:t>
      </w:r>
      <w:r>
        <w:rPr>
          <w:rFonts w:ascii="Times New Roman CYR" w:hAnsi="Times New Roman CYR" w:cs="Times New Roman CYR"/>
          <w:sz w:val="28"/>
          <w:szCs w:val="28"/>
        </w:rPr>
        <w:lastRenderedPageBreak/>
        <w:t>проекты нормативных правовых актов в области образования в пределах своей компетенции.</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Осуществляет комплексный анализ и прогнозирование тенденции развития образования в городе.</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Создает условия для реализации дошкольного, начального общего, основного общего и среднего (полного) общего, а также дополнительного образования.</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Обеспечивает руководство методической работой, совершенствует и повышает эффективность деятельности педагогов образовательных учреждений города.</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Контролирует и анализирует деятельность образовательных учреждений города.</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Контролирует исполнение федеральных и национально региональных компонентов государственных образовательных стандартов в образовательных учреждениях города.</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Контролирует и устанавливает, в соответствии с действующим законодательством, порядок приема обучающихся (воспитанников) в учреждения дошкольного, общего среднего и дополнительного образования.</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Оказывает помощь в осуществлении лицензирования, аттестации и государственной аккредитации муниципальных образовательных учреждений в пределах своей компетенции.</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Организует работу по проведению аттестации руководящих и педагогических работников образовательных учреждений города.</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Разрабатывает и осуществляет комплекс мер по подготовке переподготовке и повышению квалификации руководителей и специалистов образовательных учреждений города.</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Формирует городской заказ образовательных услуг на основе </w:t>
      </w:r>
      <w:r>
        <w:rPr>
          <w:rFonts w:ascii="Times New Roman CYR" w:hAnsi="Times New Roman CYR" w:cs="Times New Roman CYR"/>
          <w:sz w:val="28"/>
          <w:szCs w:val="28"/>
        </w:rPr>
        <w:lastRenderedPageBreak/>
        <w:t>запросов учреждений (организаций) города и анализа предложений населения и учащейся молодежи.</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Разрабатывает и реализует совместно с образовательными учреждениями, заинтересованными органами местного самоуправления комплекс мер по охране труда, направленных на обеспечение здоровья и безопасных условий учебы и труда обучающихся, воспитанников и работников системы образования, а также по их социальной защите.</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противоречиями, снижающими эффективность и результативность деятельности муниципальных органов управления образованием являются:</w:t>
      </w:r>
    </w:p>
    <w:p w:rsidR="00FE5AE9" w:rsidRDefault="00920100">
      <w:pPr>
        <w:widowControl w:val="0"/>
        <w:tabs>
          <w:tab w:val="left" w:pos="0"/>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противоречие между требованием высокой оперативности управленческих действий аппарата муниципального управления образованием и практическим отсутствием необходимой информации о состоянии конкретных образовательных учреждений вследствие их широкого распределения по территории района в сельской местности и отсутствия у муниципалитетов современных коммуникационных средств сбора необходимой образовательной информации;</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противоречие между развитием современного обеспечения управления информацией на электронных носителях и продолжающимся ростом объёма бумажных документов;</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противоречие между реальным усложнением функций муниципального управления образованием и неготовностью специалистов к широкому использованию современных средств информационно-коммуникационных технологий (ИКТ) для совершенствования управленческой деятельности.[4]</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Финансирование государством образовательной деятельности осуществляется в различных формах (рис.2).</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br w:type="page"/>
      </w:r>
    </w:p>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2. Формы финансирования государством образовательной деятельности</w:t>
      </w:r>
    </w:p>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Финансовое обеспечение государственных гарантий прав граждан на получение общедоступного и бесплатного начального общего, основного общего, среднего (полного) общего образования, а также дополнительного образования в муниципальных общеобразовательных учреждениях области осуществляется за счет субвенций из областного бюджета, выделяемых бюджетам городских округов и муниципальных районов.[ 32]</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счет субвенций из краевого бюджета финансируются расходы общеобразовательных учреждений, непосредственно связанные с реализацией основных общеобразовательных программ - оплата труда работников общеобразовательных учреждений, расходы на приобретение учебных пособий, технических средств обучения, расходных материалов и на хозяйственные нужды.</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Другие расходы, связанные с функционированием муниципальных общеобразовательных учреждений, в т.ч. расходы на содержание зданий и оплату коммунальных услуг, производятся за счет местных бюджетов и других не запрещенных законом источников. [34]</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постановлением Губернатора области от субвенции из областного бюджета муниципальным образованиям области реализацию основных общеобразовательных программ формируются на основе нормативов подушевого финансирования ((НПФ), рассчитанных в соответствии с Методикой.</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НПФ для каждого типа и вида общеобразовательного учреждения и в соответствии со ступенями обучения утверждаются законом Московской области о краевом бюджете на очередной финансовый год.</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общего объема субвенции каждому муниципальному бюджету на реализацию основных общеобразовательных программ на очередной финансовый год осуществляется в соответствии с прогнозируемой среднегодовой численностью учащихся в общеобразовательных учреждениях и величиной НПФ, установленных законом Московской области на очередной финансовый год</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Министерство финансов области направляет субвенции местным бюджетам городских округов и муниципальных районов области на реализацию основных общеобразовательных программ в муниципальных общеобразовательных учреждениях на основании сводной бюджетной росписи краевого бюджета в пределах лимитов бюджетных обязательств, утвержденных в установленном порядке.</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Размер ежемесячного финансирования и общий размер субвенции могут быть скорректированы в связи с отклонением фактического числа учащихся от планируемого при получении новых данных статистической отчетности на </w:t>
      </w:r>
      <w:r>
        <w:rPr>
          <w:rFonts w:ascii="Times New Roman CYR" w:hAnsi="Times New Roman CYR" w:cs="Times New Roman CYR"/>
          <w:sz w:val="28"/>
          <w:szCs w:val="28"/>
        </w:rPr>
        <w:lastRenderedPageBreak/>
        <w:t>начало учебного года.</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Администрации муниципальных районов и городских округов производят расчет потребности бюджетных средств на очередной финансовый год в целом по системе образования и в разрезе учреждений на реализацию основных общеобразовательных программ на основе НПФ.</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общего объема расходов каждому муниципальному общеобразовательному учреждению на реализацию основных общеобразовательных программ на очередной финансовый год осуществляется исходя из видов реализуемых в учреждении общеобразовательных программ и прогнозируемой среднегодовой численности учащихся, занимающихся по этим программам.</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Доля расходов на обеспечение учебного процесса в общем объеме нормативных затрат должна составлять в 2010 году не менее 2 %.</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расчете объема финансовых средств в разрезе учреждений применяются поправочные коэффициенты, предусмотренные методикой расчета субвенций - коэффициент наполняемости, коэффициент качественного состава педагогических кадров, коэффициент масштабности.</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соответствии с законом РФ «Об образовании» образовательные учреждения самостоятельно разрабатывают сметы расходов на очередной финансовый год. В условиях нормативного подушевого финансирования, учредитель обязан довести до каждого подведомственного учреждения рассчитанный на основе нормативов объем бюджетных средств на планируемый период единой цифрой без разбиения по статьям экономической классификации. Учреждения, получив информацию по объему финансирования на планируемый период, самостоятельно разрабатывают сметы расходов на реализацию основных общеобразовательных программ в пределах объемов финансирования, установленных муниципальным органом управления образованием, в том числе </w:t>
      </w:r>
      <w:r>
        <w:rPr>
          <w:rFonts w:ascii="Times New Roman CYR" w:hAnsi="Times New Roman CYR" w:cs="Times New Roman CYR"/>
          <w:sz w:val="28"/>
          <w:szCs w:val="28"/>
        </w:rPr>
        <w:lastRenderedPageBreak/>
        <w:t>распределение по кварталам годовых объемов финансирования. Смета формируется в соответствие со штатным расписанием образовательного учреждения, тарификацией и планами образовательного учреждения по расходованию бюджетных средств по тем статьям экономической классификации, финансирование которых осуществляется за счет норматива. Штатные расписания утверждаются образовательными учреждениями самостоятельно, в соответствии действующей номенклатурой должностей.</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Образовательные учреждения составляют сметы доходов и расходов на очередной финансовый год в разрезе источников финансирования (краевой бюджет, местный бюджет и т.д.)</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Образовательные учреждения представляют проекты смет доходов и расходов на согласование в муниципальные органы управления образованием.</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Утверждение смет общеобразовательных учреждений производится с учетом уточненных показателей численности учащихся по общеобразовательным учреждениям в разрезе ступеней обучения и видов реализуемых программ.</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согласования и утверждения муниципальным органом управления образованием смет доходов и расходов образовательных учреждений, муниципальный орган управления образованием составляет бюджетную роспись с поквартальным распределением объемов бюджетного финансирования образовательных учреждений, как на реализацию основных общеобразовательных программ, так и на прочие расходы. Бюджетная роспись составляется с разбивкой по статьям функциональной и экономической классификации.</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Бюджетная роспись, составленная муниципальным органом управления образованием, представляется в финансовый орган администрации муниципального образования в сроки, установленные действующим </w:t>
      </w:r>
      <w:r>
        <w:rPr>
          <w:rFonts w:ascii="Times New Roman CYR" w:hAnsi="Times New Roman CYR" w:cs="Times New Roman CYR"/>
          <w:sz w:val="28"/>
          <w:szCs w:val="28"/>
        </w:rPr>
        <w:lastRenderedPageBreak/>
        <w:t>законодательством. Финансовый орган муниципальной администрации осуществляет ежемесячное перечисление средств на счета муниципальных образовательных учреждений.</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Корректировка смет расходов в зависимости от количества учащихся и уточнение размеров ежемесячного финансирования образовательных учреждений производится органами местного самоуправления в установленные им сроки.</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Администрации городских округов и муниципальных районов области представляют ежемесячный отчет об использовании субвенций министерству финансов области.</w:t>
      </w:r>
    </w:p>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1.3 Основные направления развития системы образования</w:t>
      </w:r>
    </w:p>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в Российской Федерации проходит реализация проекта «Качественное образование», общие расходы федерального бюджета в 2010 году на образование возросли более чем на 30% [ 2].</w:t>
      </w:r>
    </w:p>
    <w:p w:rsidR="00FE5AE9" w:rsidRDefault="009201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рамках национального проекта в сфере образования предусмотрена государственная поддержка способной и талантливой молодежи. Планируется учредить 5000 индивидуальных грантов по 60 тысяч рублей (более 2 тыс. долл.) и 100 молодежных проектов по 800 тысяч рублей (28,4 тыс. долл.).</w:t>
      </w:r>
    </w:p>
    <w:p w:rsidR="00FE5AE9" w:rsidRDefault="009201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Ожидается, что за два года 30 вузов России получат по 500 миллионов рублей (17,7 млн. долл.), а 600 общеобразовательных школ - по одному миллиону (35,5 тыс. долл.).</w:t>
      </w:r>
      <w:r>
        <w:rPr>
          <w:rFonts w:ascii="Times New Roman CYR" w:hAnsi="Times New Roman CYR" w:cs="Times New Roman CYR"/>
          <w:sz w:val="28"/>
          <w:szCs w:val="28"/>
        </w:rPr>
        <w:tab/>
        <w:t>Так же в рамках национального проекта «Образование» запланировано повышение заработной платы учителям и ученым-педагогам.</w:t>
      </w:r>
    </w:p>
    <w:p w:rsidR="00FE5AE9" w:rsidRDefault="009201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Москве и Санкт-Петербурге будут созданы бизнес-школы мирового уровня и два национальных университета в Южном и Сибирском федеральном </w:t>
      </w:r>
      <w:r>
        <w:rPr>
          <w:rFonts w:ascii="Times New Roman CYR" w:hAnsi="Times New Roman CYR" w:cs="Times New Roman CYR"/>
          <w:sz w:val="28"/>
          <w:szCs w:val="28"/>
        </w:rPr>
        <w:lastRenderedPageBreak/>
        <w:t>округе.</w:t>
      </w:r>
    </w:p>
    <w:p w:rsidR="00FE5AE9" w:rsidRDefault="009201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целом же проект предусматривает ряд мер по развитию образовательной инфраструктуры и социальной среды образования.</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Проекте «Образование» заложено два основных механизма стимулирования необходимых системных изменений в образовании. Во-первых, это выявление и приоритетная поддержка лидеров - "точек роста" нового качества образования. Во-вторых - внедрение в массовую практику элементов новых управленческих механизмов и подходов - "центров кристаллизации" институциональных изменений.</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Каждое направление национального проекта является комплексным в том смысле, что ведет к целому ряду принципиальных подвижек в качестве образования.</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Поддержка на конкурсной основе лучших учителей и школ, внедряющих инновационные программы. Прежде всего эти компоненты национального проекта содействуют повышению открытости образовательной системы, ее восприимчивости к запросам граждан и общества.</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другой стороны, гражданские институты участвуют в экспертизе, оценивании школ и учителей. Было организовано широкое общественное обсуждение самих конкурсных критериев. Это ведет еще и к таким важным изменениям, как становление нового, сформулированного обществом представления о качестве образования. А также - к развитию новых форм его оценки: оценки открытой, прозрачной, критериальной, внешней (а не внутриведомственной), с участием общественности.</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ходе конкурсного отбора будет поддержана практика создания ресурсных центров и опорных школ, предоставляющих качественное образование возможно более широкому кругу учащихся и выполняющих функции методической помощи педагогам, способствуя повышению их </w:t>
      </w:r>
      <w:r>
        <w:rPr>
          <w:rFonts w:ascii="Times New Roman CYR" w:hAnsi="Times New Roman CYR" w:cs="Times New Roman CYR"/>
          <w:sz w:val="28"/>
          <w:szCs w:val="28"/>
        </w:rPr>
        <w:lastRenderedPageBreak/>
        <w:t>квалификации.[22]</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Применяется механизм выделения по регионам квот на поддержку учителей и школ - пропорционально количеству городских и сельских школьников с удвоением квоты для учащихся в сельской местности. Тем самым задается образец подушевого принципа финансирования в образовании. Направление ассигнований непосредственно в школы для реализации программ развития способствует становлению их финансово-хозяйственной самостоятельности.</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Еще одно важное институциональное изменение стимулируют данные конкурсы: внедрение новой системы оплаты труда учителей. Фактически на уровне страны создается фонд стимулирования за качество и результативность педагогической работы, распределяемый с участием общественных институтов. Это должно повлечь создание подобных фондов и процедур на всех ступенях управления - от регионального уровня до школы.</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Поддержка инновационных вузов также содействует ряду названных изменений, в первую очередь, - связанных с расширением общественного участия в управлении образованием, с формированием общественного заказа и модернизацией системы оценки качества образования.</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через установленные критерии отбора конкурс инновационных вузов способствует повышению ориентации профессионального образования на региональную экономику, на кадровые потребности конкретной территории.</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Приоритетный национальный проект "Образование" разработан таким образом, чтобы:</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обеспечить системные изменения по основным направлениям развития образования России;</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эффективно содействовать становлению институтов гражданского </w:t>
      </w:r>
      <w:r>
        <w:rPr>
          <w:rFonts w:ascii="Times New Roman CYR" w:hAnsi="Times New Roman CYR" w:cs="Times New Roman CYR"/>
          <w:sz w:val="28"/>
          <w:szCs w:val="28"/>
        </w:rPr>
        <w:lastRenderedPageBreak/>
        <w:t>общества и современного образовательного менеджмента.</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нами были рассмотрены теоретические и методические основы разработки дипломной работы. Следующая глава будет посвящена анализу системы управления сферой образования Чеховского района Московской области.</w:t>
      </w:r>
    </w:p>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lang w:val="en-US"/>
        </w:rPr>
        <w:lastRenderedPageBreak/>
        <w:t>II</w:t>
      </w:r>
      <w:r>
        <w:rPr>
          <w:rFonts w:ascii="Times New Roman CYR" w:hAnsi="Times New Roman CYR" w:cs="Times New Roman CYR"/>
          <w:sz w:val="28"/>
          <w:szCs w:val="28"/>
        </w:rPr>
        <w:t>. АНАЛИЗ СИСТЕМЫ УПРАВЛЕНИЯ СФЕРОЙ ОБРАЗОВАНИЯ (НА ПРИМЕРЕ ЧЕХОВСКОГО МУНИЦИПАЛЬНОГО РАЙОНА МОСКОВСКОЙ ОБЛАСТИ)</w:t>
      </w:r>
    </w:p>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2.1 Социально- экономическая характеристика Чеховского района Московской области)</w:t>
      </w:r>
    </w:p>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Город Чехов расположился в 77 км к югу от Москвы, по Московско- Курской ж.д. на территории района, носящего одноименное название.</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Район граничит с Подольским, Ступинским, Серпуховским районами, Калужской областью.</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Территория Чеховского района составляет 858,4 кв. км. На территории района расположены 146 населенных пункта, в том числе город районного подчинения - Чехов, поселок Столбовая, сел и деревень- 144.</w:t>
      </w:r>
    </w:p>
    <w:p w:rsidR="00FE5AE9" w:rsidRDefault="0092010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Ситуация на рынке труда улучшается, сократился уровень безработицы.</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прошедший год практически во всех отраслях экономики выросла средняя заработная плата и составила (табл.4).</w:t>
      </w:r>
    </w:p>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4 Динамика роста заработной платы в Чеховском районе, руб</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60"/>
        <w:gridCol w:w="2085"/>
        <w:gridCol w:w="1821"/>
        <w:gridCol w:w="2397"/>
      </w:tblGrid>
      <w:tr w:rsidR="00FE5AE9">
        <w:tc>
          <w:tcPr>
            <w:tcW w:w="266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Отрасль</w:t>
            </w:r>
          </w:p>
        </w:tc>
        <w:tc>
          <w:tcPr>
            <w:tcW w:w="2085"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 год</w:t>
            </w:r>
          </w:p>
        </w:tc>
        <w:tc>
          <w:tcPr>
            <w:tcW w:w="1821"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 год</w:t>
            </w:r>
          </w:p>
        </w:tc>
        <w:tc>
          <w:tcPr>
            <w:tcW w:w="2397"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Динамика</w:t>
            </w:r>
          </w:p>
        </w:tc>
      </w:tr>
      <w:tr w:rsidR="00FE5AE9">
        <w:tc>
          <w:tcPr>
            <w:tcW w:w="266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промышленность</w:t>
            </w:r>
          </w:p>
        </w:tc>
        <w:tc>
          <w:tcPr>
            <w:tcW w:w="2085"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4791</w:t>
            </w:r>
          </w:p>
        </w:tc>
        <w:tc>
          <w:tcPr>
            <w:tcW w:w="1821"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6037</w:t>
            </w:r>
          </w:p>
        </w:tc>
        <w:tc>
          <w:tcPr>
            <w:tcW w:w="2397"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+1246</w:t>
            </w:r>
          </w:p>
        </w:tc>
      </w:tr>
      <w:tr w:rsidR="00FE5AE9">
        <w:tc>
          <w:tcPr>
            <w:tcW w:w="266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 хозяйство</w:t>
            </w:r>
          </w:p>
        </w:tc>
        <w:tc>
          <w:tcPr>
            <w:tcW w:w="2085"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2289</w:t>
            </w:r>
          </w:p>
        </w:tc>
        <w:tc>
          <w:tcPr>
            <w:tcW w:w="1821"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3137</w:t>
            </w:r>
          </w:p>
        </w:tc>
        <w:tc>
          <w:tcPr>
            <w:tcW w:w="2397"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+ 848</w:t>
            </w:r>
          </w:p>
        </w:tc>
      </w:tr>
      <w:tr w:rsidR="00FE5AE9">
        <w:tc>
          <w:tcPr>
            <w:tcW w:w="266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грузовой транспорт</w:t>
            </w:r>
          </w:p>
        </w:tc>
        <w:tc>
          <w:tcPr>
            <w:tcW w:w="2085"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1822</w:t>
            </w:r>
          </w:p>
        </w:tc>
        <w:tc>
          <w:tcPr>
            <w:tcW w:w="1821"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2710</w:t>
            </w:r>
          </w:p>
        </w:tc>
        <w:tc>
          <w:tcPr>
            <w:tcW w:w="2397"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+ 888</w:t>
            </w:r>
          </w:p>
        </w:tc>
      </w:tr>
      <w:tr w:rsidR="00FE5AE9">
        <w:tc>
          <w:tcPr>
            <w:tcW w:w="266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пассажирский транспорт</w:t>
            </w:r>
          </w:p>
        </w:tc>
        <w:tc>
          <w:tcPr>
            <w:tcW w:w="2085"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4258</w:t>
            </w:r>
          </w:p>
        </w:tc>
        <w:tc>
          <w:tcPr>
            <w:tcW w:w="1821"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5148</w:t>
            </w:r>
          </w:p>
        </w:tc>
        <w:tc>
          <w:tcPr>
            <w:tcW w:w="2397"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+ 890</w:t>
            </w:r>
          </w:p>
        </w:tc>
      </w:tr>
    </w:tbl>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городе и районе располагаются Институт инженерной иммунологии, Питомник лабораторных животных, ПФ НАТИ, 32 школы, 46 дошкольных учреждений, филиалы 4 институтов, 2 техникума, Культурно-просветительские учреждения - КТЦ «Дружба», театр русской культуры, государственный литературно-мемориальный музей-заповедник А.П.Чехова «Мелихово», музей </w:t>
      </w:r>
      <w:r>
        <w:rPr>
          <w:rFonts w:ascii="Times New Roman CYR" w:hAnsi="Times New Roman CYR" w:cs="Times New Roman CYR"/>
          <w:sz w:val="28"/>
          <w:szCs w:val="28"/>
        </w:rPr>
        <w:lastRenderedPageBreak/>
        <w:t>писем А.П.Чехова.</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Санатории и дома отдыха - «Русское поле», «Васькино», «Лопасня» и большая сеть детских пионерских лагерей, расположенных в прекрасной, экологически чистой местности.</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Чеховский район имеет индустриально-аграрный народнохозяйственный профиль. </w:t>
      </w:r>
      <w:r>
        <w:rPr>
          <w:rFonts w:ascii="Times New Roman CYR" w:hAnsi="Times New Roman CYR" w:cs="Times New Roman CYR"/>
          <w:sz w:val="28"/>
          <w:szCs w:val="28"/>
        </w:rPr>
        <w:tab/>
        <w:t>Ведущее место в народном хозяйстве района занимает промышленность.</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территории Чеховского района работают 14 крупных и средних промышленных предприятий. Из них 1- государственное предприятие, 4- закрытые акционерные общества , 9- открытые акционерные общества.</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Производством сельскохозяйственной продукции на сегодняшний день занято - 92 предприятия: 5 акционерных общества, 3 сельхозкооператива, 85 крестьянско-фермерских хозяйств.</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в районе функционируют филиалы: МАКБ «Возрождение», Сбербанка, «Гута- банка», «Традобанка», 3 валютные кассы.</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Чеховский район открыт для инвесторов. В 2000 году введено в действие ООО «Данон - индустрия» по производству молочной продукции и кондитерских изделий, действует ООО « Алкоа Си - ЭС - Ай Восток» - 100% иностранный капитал, в марте 2010 года начало работать предприятие ООО «Милтон ТНП» по производству тапочек и спортивной обуви.</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 второй половине 2010 года предприятие «НИСКО ИНДАСТИЗ» начало выпуск теплоизоляционных плит из вспененного полистирола.</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Население района обслуживается пассажирским автотранспортным предприятием, перевозку грузов для организаций и населения осуществляет ЗАО «Чеховавтотранс».</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Перевозку грузов в вагонах МПС осуществляет Чеховское АООТ «Промжелдортранс», на балансе которого находится железнодорожный путь, </w:t>
      </w:r>
      <w:r>
        <w:rPr>
          <w:rFonts w:ascii="Times New Roman CYR" w:hAnsi="Times New Roman CYR" w:cs="Times New Roman CYR"/>
          <w:sz w:val="28"/>
          <w:szCs w:val="28"/>
        </w:rPr>
        <w:lastRenderedPageBreak/>
        <w:t>протяженностью 35,6 км, в работе задействовано 3 единицы локомотивов.</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условиях рынка строительный комплекс района представлен тремя ведущими организациями: ООО «Леко», ОАО «Седо» и АО «Чеховстрой».</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промышленном комплексе Чеховского района с 2008 года сложилась положительная тенденция к росту динамики производства. Общий объем промышленного производства в 2010 году вырос в 2,5 раза по сравнению с 2008 годом и составил 1860,6 млн. руб. (табл.5).</w:t>
      </w:r>
    </w:p>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5 Динамика объема производства Чеховского района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03"/>
        <w:gridCol w:w="852"/>
        <w:gridCol w:w="850"/>
        <w:gridCol w:w="851"/>
        <w:gridCol w:w="1921"/>
      </w:tblGrid>
      <w:tr w:rsidR="00FE5AE9">
        <w:tc>
          <w:tcPr>
            <w:tcW w:w="4503"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2553" w:type="dxa"/>
            <w:gridSpan w:val="3"/>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Годы</w:t>
            </w:r>
          </w:p>
        </w:tc>
        <w:tc>
          <w:tcPr>
            <w:tcW w:w="1921"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Динамика, 2010г. к 2008г. в %</w:t>
            </w:r>
          </w:p>
        </w:tc>
      </w:tr>
      <w:tr w:rsidR="00FE5AE9">
        <w:tc>
          <w:tcPr>
            <w:tcW w:w="4503" w:type="dxa"/>
            <w:tcBorders>
              <w:top w:val="single" w:sz="6" w:space="0" w:color="auto"/>
              <w:left w:val="single" w:sz="6" w:space="0" w:color="auto"/>
              <w:bottom w:val="single" w:sz="6" w:space="0" w:color="auto"/>
              <w:right w:val="single" w:sz="6" w:space="0" w:color="auto"/>
            </w:tcBorders>
          </w:tcPr>
          <w:p w:rsidR="00FE5AE9" w:rsidRDefault="00FE5AE9">
            <w:pPr>
              <w:widowControl w:val="0"/>
              <w:autoSpaceDE w:val="0"/>
              <w:autoSpaceDN w:val="0"/>
              <w:adjustRightInd w:val="0"/>
              <w:spacing w:after="0" w:line="240" w:lineRule="auto"/>
              <w:rPr>
                <w:rFonts w:ascii="Times New Roman CYR" w:hAnsi="Times New Roman CYR" w:cs="Times New Roman CYR"/>
                <w:sz w:val="20"/>
                <w:szCs w:val="20"/>
              </w:rPr>
            </w:pPr>
          </w:p>
        </w:tc>
        <w:tc>
          <w:tcPr>
            <w:tcW w:w="85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w:t>
            </w:r>
          </w:p>
        </w:tc>
        <w:tc>
          <w:tcPr>
            <w:tcW w:w="85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851"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1921" w:type="dxa"/>
            <w:tcBorders>
              <w:top w:val="single" w:sz="6" w:space="0" w:color="auto"/>
              <w:left w:val="single" w:sz="6" w:space="0" w:color="auto"/>
              <w:bottom w:val="single" w:sz="6" w:space="0" w:color="auto"/>
              <w:right w:val="single" w:sz="6" w:space="0" w:color="auto"/>
            </w:tcBorders>
          </w:tcPr>
          <w:p w:rsidR="00FE5AE9" w:rsidRDefault="00FE5AE9">
            <w:pPr>
              <w:widowControl w:val="0"/>
              <w:autoSpaceDE w:val="0"/>
              <w:autoSpaceDN w:val="0"/>
              <w:adjustRightInd w:val="0"/>
              <w:spacing w:after="0" w:line="240" w:lineRule="auto"/>
              <w:rPr>
                <w:rFonts w:ascii="Times New Roman CYR" w:hAnsi="Times New Roman CYR" w:cs="Times New Roman CYR"/>
                <w:sz w:val="20"/>
                <w:szCs w:val="20"/>
              </w:rPr>
            </w:pPr>
          </w:p>
        </w:tc>
      </w:tr>
      <w:tr w:rsidR="00FE5AE9">
        <w:tc>
          <w:tcPr>
            <w:tcW w:w="4503"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Объем промышленного производства, млн.руб.</w:t>
            </w:r>
          </w:p>
        </w:tc>
        <w:tc>
          <w:tcPr>
            <w:tcW w:w="85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744,24</w:t>
            </w:r>
          </w:p>
        </w:tc>
        <w:tc>
          <w:tcPr>
            <w:tcW w:w="85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1020,3</w:t>
            </w:r>
          </w:p>
        </w:tc>
        <w:tc>
          <w:tcPr>
            <w:tcW w:w="851"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1860,6</w:t>
            </w:r>
          </w:p>
        </w:tc>
        <w:tc>
          <w:tcPr>
            <w:tcW w:w="1921"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250%</w:t>
            </w:r>
          </w:p>
        </w:tc>
      </w:tr>
    </w:tbl>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Продукция промышленных предприятий района конкурентоспособна, о чем говорит востребованность на внутреннем и внешнем рынках. Наилучших результатов в развитии производства достигли такие предприятия, как ОАО «ЧЗ Гидросталь», ОАО «Чеховский завод Энергомаш», ГУП «Чеховский полиграфический комбинат». В то же время период экономических реформ негативно отразился на деятельности отдельных предприятий района - ЗАО «Модуль», ООО «ЭЗ - Техноком», филиал «СМЗ».</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разряд предприятий малого бизнеса входят все предприятия сферы обслуживания, бывшие государственные предприятия торговли, общественного питания и бытового обслуживания.</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данный момент сеть предприятий розничной и оптовой торговли в районе включает 904 предприятия торговли</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Организована видеотелефонная связь с включением видеотелефонов абонентам, а также - служба «Бюрофакс», установлена и включена в работу цифровая система «Ротек» на участке Чехов-Подольск и включены в работу 9 </w:t>
      </w:r>
      <w:r>
        <w:rPr>
          <w:rFonts w:ascii="Times New Roman CYR" w:hAnsi="Times New Roman CYR" w:cs="Times New Roman CYR"/>
          <w:sz w:val="28"/>
          <w:szCs w:val="28"/>
        </w:rPr>
        <w:lastRenderedPageBreak/>
        <w:t>первичных цифровых трактов.</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деревне Манушкино сдана новая АТС, расширена АТС в пос. Столбовая, включены в работу аналоговые каналы в АМТС «Кварц» и проведены другие виды работ по расширению средств связи.</w:t>
      </w:r>
    </w:p>
    <w:p w:rsidR="00FE5AE9" w:rsidRDefault="0092010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последние три года наблюдается оживление инвестиционного процесса в капитальном строительстве района.</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Объем инвестиций в 2010 году возрос по отношению к 2008году на 53,9% и составил 140,5 млн. руб. (табл.6).</w:t>
      </w:r>
    </w:p>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6 Динамика объема инвестиций Чеховского района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69"/>
        <w:gridCol w:w="725"/>
        <w:gridCol w:w="709"/>
        <w:gridCol w:w="850"/>
        <w:gridCol w:w="3386"/>
      </w:tblGrid>
      <w:tr w:rsidR="00FE5AE9">
        <w:tc>
          <w:tcPr>
            <w:tcW w:w="3369"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2284" w:type="dxa"/>
            <w:gridSpan w:val="3"/>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Годы</w:t>
            </w:r>
          </w:p>
        </w:tc>
        <w:tc>
          <w:tcPr>
            <w:tcW w:w="3386"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Динамика, 2010г. к 2008г. в %</w:t>
            </w:r>
          </w:p>
        </w:tc>
      </w:tr>
      <w:tr w:rsidR="00FE5AE9">
        <w:tc>
          <w:tcPr>
            <w:tcW w:w="3369" w:type="dxa"/>
            <w:tcBorders>
              <w:top w:val="single" w:sz="6" w:space="0" w:color="auto"/>
              <w:left w:val="single" w:sz="6" w:space="0" w:color="auto"/>
              <w:bottom w:val="single" w:sz="6" w:space="0" w:color="auto"/>
              <w:right w:val="single" w:sz="6" w:space="0" w:color="auto"/>
            </w:tcBorders>
          </w:tcPr>
          <w:p w:rsidR="00FE5AE9" w:rsidRDefault="00FE5AE9">
            <w:pPr>
              <w:widowControl w:val="0"/>
              <w:autoSpaceDE w:val="0"/>
              <w:autoSpaceDN w:val="0"/>
              <w:adjustRightInd w:val="0"/>
              <w:spacing w:after="0" w:line="240" w:lineRule="auto"/>
              <w:rPr>
                <w:rFonts w:ascii="Times New Roman CYR" w:hAnsi="Times New Roman CYR" w:cs="Times New Roman CYR"/>
                <w:sz w:val="20"/>
                <w:szCs w:val="20"/>
              </w:rPr>
            </w:pPr>
          </w:p>
        </w:tc>
        <w:tc>
          <w:tcPr>
            <w:tcW w:w="725"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w:t>
            </w:r>
          </w:p>
        </w:tc>
        <w:tc>
          <w:tcPr>
            <w:tcW w:w="709"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85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3386" w:type="dxa"/>
            <w:tcBorders>
              <w:top w:val="single" w:sz="6" w:space="0" w:color="auto"/>
              <w:left w:val="single" w:sz="6" w:space="0" w:color="auto"/>
              <w:bottom w:val="single" w:sz="6" w:space="0" w:color="auto"/>
              <w:right w:val="single" w:sz="6" w:space="0" w:color="auto"/>
            </w:tcBorders>
          </w:tcPr>
          <w:p w:rsidR="00FE5AE9" w:rsidRDefault="00FE5AE9">
            <w:pPr>
              <w:widowControl w:val="0"/>
              <w:autoSpaceDE w:val="0"/>
              <w:autoSpaceDN w:val="0"/>
              <w:adjustRightInd w:val="0"/>
              <w:spacing w:after="0" w:line="240" w:lineRule="auto"/>
              <w:rPr>
                <w:rFonts w:ascii="Times New Roman CYR" w:hAnsi="Times New Roman CYR" w:cs="Times New Roman CYR"/>
                <w:sz w:val="20"/>
                <w:szCs w:val="20"/>
              </w:rPr>
            </w:pPr>
          </w:p>
        </w:tc>
      </w:tr>
      <w:tr w:rsidR="00FE5AE9">
        <w:tc>
          <w:tcPr>
            <w:tcW w:w="3369"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Объем инвестиций, млн.руб.</w:t>
            </w:r>
          </w:p>
        </w:tc>
        <w:tc>
          <w:tcPr>
            <w:tcW w:w="725"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64,77</w:t>
            </w:r>
          </w:p>
        </w:tc>
        <w:tc>
          <w:tcPr>
            <w:tcW w:w="709"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80,12</w:t>
            </w:r>
          </w:p>
        </w:tc>
        <w:tc>
          <w:tcPr>
            <w:tcW w:w="85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140,5</w:t>
            </w:r>
          </w:p>
        </w:tc>
        <w:tc>
          <w:tcPr>
            <w:tcW w:w="3386"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53,9%</w:t>
            </w:r>
          </w:p>
        </w:tc>
      </w:tr>
    </w:tbl>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реализацию Программ: «Поддержка полиграфии и книгоиздания» и «Государственные жилищные сертификаты» району выделялись средства из федерального бюджета.</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областного бюджета району оказана помощь для строительства комплекса зданий Чеховского ОВД и газопроводов.</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ноябре 2010 года введен в эксплуатацию спортзал в школе №3 в центральном микрорайоне.</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Введено в эксплуатацию в 2010году:</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жилья - 60,1 тыс. кв. м., в том числе индивидуального - 32,4 тыс.кв.м.</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газопроводов, протяженностью - 13,2 км.</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1 полугодии 2008 года введена в эксплуатацию 2 очередь комплекса зданий Чеховского ОВД.</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Ужесточились требования к застройщикам при сдаче жилых домов: качеству их строительства, выполнение технических условий по благоустройству территорий, своевременное подключение лифтов, наличие </w:t>
      </w:r>
      <w:r>
        <w:rPr>
          <w:rFonts w:ascii="Times New Roman CYR" w:hAnsi="Times New Roman CYR" w:cs="Times New Roman CYR"/>
          <w:sz w:val="28"/>
          <w:szCs w:val="28"/>
        </w:rPr>
        <w:lastRenderedPageBreak/>
        <w:t>газового обеспечения и т. д.</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Проведены большие объемы работ по капитальному ремонту на объектах: здравоохранения, образования, культуры и социнфраструктуры.</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Много сил и средств Администрацией района было вложено в выполнение работ по благоустройству города и района.</w:t>
      </w:r>
    </w:p>
    <w:p w:rsidR="00FE5AE9" w:rsidRDefault="0092010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Проведено освещение и благоустройство сквера А. П. Чехова, благоустроен сквер в центральной части города и установлен памятник почетному гражданину г. Чехова - учителю А. М. Прокину, проведены восстановительные работы на стелле при въезде в г. Чехов; работы по озеленению и уличному освещению города с обустройством бульвара вдоль ул. Московская.</w:t>
      </w:r>
    </w:p>
    <w:p w:rsidR="00FE5AE9" w:rsidRDefault="0092010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Большой объем работ был осуществлен силами ГП «Чеховский Автодор» по реконструкции и ремонту городских и сельских автодорог. Сданы в эксплуатацию два моста: вновь построенный на автодороге Корьково - Крюково и реконструированный на автодороге Москва-Харьков через реку Сухая Лопасня. В 2010 году на средства местного бюджета в сумме 4,5 млн. руб. отремонтировано 20 тыс. кв. м дорог, проездов и тротуаров.</w:t>
      </w:r>
    </w:p>
    <w:p w:rsidR="00FE5AE9" w:rsidRDefault="0092010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развитии общества на протяжении многих веков торговля имела не только экономическое, но и общественно-политическое значение, являясь одним из определяющих индикаторов благосостояния.</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Объем розничного товарооборота в 2010 году составил 352 млн. руб. или к 2003г. прирост составил - 67,9 %(табл.7).</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Поддерживается высокая насыщенность торговой сети основными продуктами питания и социально-значимыми непродовольственными товарами, полностью удовлетворяется платежеспособный спрос населения в товарах и услугах.</w:t>
      </w:r>
    </w:p>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7 Динамика розничного товарооборота Чеховского района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77"/>
        <w:gridCol w:w="716"/>
        <w:gridCol w:w="616"/>
        <w:gridCol w:w="801"/>
        <w:gridCol w:w="2835"/>
      </w:tblGrid>
      <w:tr w:rsidR="00FE5AE9">
        <w:tc>
          <w:tcPr>
            <w:tcW w:w="4077"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2133" w:type="dxa"/>
            <w:gridSpan w:val="3"/>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Годы</w:t>
            </w:r>
          </w:p>
        </w:tc>
        <w:tc>
          <w:tcPr>
            <w:tcW w:w="2835"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Динамика, 2010г. к 2008г. в %</w:t>
            </w:r>
          </w:p>
        </w:tc>
      </w:tr>
      <w:tr w:rsidR="00FE5AE9">
        <w:tc>
          <w:tcPr>
            <w:tcW w:w="4077" w:type="dxa"/>
            <w:tcBorders>
              <w:top w:val="single" w:sz="6" w:space="0" w:color="auto"/>
              <w:left w:val="single" w:sz="6" w:space="0" w:color="auto"/>
              <w:bottom w:val="single" w:sz="6" w:space="0" w:color="auto"/>
              <w:right w:val="single" w:sz="6" w:space="0" w:color="auto"/>
            </w:tcBorders>
          </w:tcPr>
          <w:p w:rsidR="00FE5AE9" w:rsidRDefault="00FE5AE9">
            <w:pPr>
              <w:widowControl w:val="0"/>
              <w:autoSpaceDE w:val="0"/>
              <w:autoSpaceDN w:val="0"/>
              <w:adjustRightInd w:val="0"/>
              <w:spacing w:after="0" w:line="240" w:lineRule="auto"/>
              <w:rPr>
                <w:rFonts w:ascii="Times New Roman CYR" w:hAnsi="Times New Roman CYR" w:cs="Times New Roman CYR"/>
                <w:sz w:val="20"/>
                <w:szCs w:val="20"/>
              </w:rPr>
            </w:pPr>
          </w:p>
        </w:tc>
        <w:tc>
          <w:tcPr>
            <w:tcW w:w="716"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w:t>
            </w:r>
          </w:p>
        </w:tc>
        <w:tc>
          <w:tcPr>
            <w:tcW w:w="616"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801"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2835" w:type="dxa"/>
            <w:tcBorders>
              <w:top w:val="single" w:sz="6" w:space="0" w:color="auto"/>
              <w:left w:val="single" w:sz="6" w:space="0" w:color="auto"/>
              <w:bottom w:val="single" w:sz="6" w:space="0" w:color="auto"/>
              <w:right w:val="single" w:sz="6" w:space="0" w:color="auto"/>
            </w:tcBorders>
          </w:tcPr>
          <w:p w:rsidR="00FE5AE9" w:rsidRDefault="00FE5AE9">
            <w:pPr>
              <w:widowControl w:val="0"/>
              <w:autoSpaceDE w:val="0"/>
              <w:autoSpaceDN w:val="0"/>
              <w:adjustRightInd w:val="0"/>
              <w:spacing w:after="0" w:line="240" w:lineRule="auto"/>
              <w:rPr>
                <w:rFonts w:ascii="Times New Roman CYR" w:hAnsi="Times New Roman CYR" w:cs="Times New Roman CYR"/>
                <w:sz w:val="20"/>
                <w:szCs w:val="20"/>
              </w:rPr>
            </w:pPr>
          </w:p>
        </w:tc>
      </w:tr>
      <w:tr w:rsidR="00FE5AE9">
        <w:tc>
          <w:tcPr>
            <w:tcW w:w="4077"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Объем розничного товарооборота млн.руб.</w:t>
            </w:r>
          </w:p>
        </w:tc>
        <w:tc>
          <w:tcPr>
            <w:tcW w:w="716"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239</w:t>
            </w:r>
          </w:p>
        </w:tc>
        <w:tc>
          <w:tcPr>
            <w:tcW w:w="616"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311</w:t>
            </w:r>
          </w:p>
        </w:tc>
        <w:tc>
          <w:tcPr>
            <w:tcW w:w="801"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352</w:t>
            </w:r>
          </w:p>
        </w:tc>
        <w:tc>
          <w:tcPr>
            <w:tcW w:w="2835"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67,9%</w:t>
            </w:r>
          </w:p>
        </w:tc>
      </w:tr>
    </w:tbl>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Торговлю в районе осуществляют - 762 торговых точки: из них: 646 - стационарная сеть, 73- предприятия общественного питания, 63- бытового обслуживания, 6 - рынков частной формы собственности, 1- муниципальный и 4- сельских рынка</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Обозначились тенденции совершенствования организации торговых процессов, основными направлениями которых стали: универсализация продовольственной торговли, развитие специализированных непродовольственных магазинов предприятиями промышленности.</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Качественно изменилась структура оборота розничной торговли. Повысилась доля доступных по цене товаров отечественного производства, в том числе произведенных в Московской области и районе.</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целях развития и поддержки производства собственной продукции Администрацией района определен перечень стационарных торговых точек для реализации продовольственной продукции (яйцо, мясо птицы, колбасные изделия, хлеб и хлебобулочные изделия, кондитерские, безалкогольные напитки), выпускаемые районными производителями.</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Полностью решена проблема обеспечения сельского населения товарами первой необходимости. В 21 отдаленный населенный пункт выезжают автолавки Чеховского РАЙПО.</w:t>
      </w:r>
    </w:p>
    <w:p w:rsidR="00FE5AE9" w:rsidRDefault="0092010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Вновь созданное МУП «Комбинат снабжения» позволит сэкономить бюджетные средства и поставить на должный уровень работу по организации школьного питания.</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Усиление социальной направленности в развитии потребительского рынка и услуг предусматривает развитие сети торгового обслуживания по сниженным </w:t>
      </w:r>
      <w:r>
        <w:rPr>
          <w:rFonts w:ascii="Times New Roman CYR" w:hAnsi="Times New Roman CYR" w:cs="Times New Roman CYR"/>
          <w:sz w:val="28"/>
          <w:szCs w:val="28"/>
        </w:rPr>
        <w:lastRenderedPageBreak/>
        <w:t>ценам для малообеспеченных граждан (открыты 3 торговых точки).</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Успешно работает магазин «Ветеран», обслуживая малообеспеченные слои населения района.</w:t>
      </w:r>
    </w:p>
    <w:p w:rsidR="00FE5AE9" w:rsidRDefault="0092010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занятости во всех сферах хозяйственной деятельности свидетельствует о том, что за последние годы сложились целые отрасли практически целиком представленные малым бизнесом. Достаточно широко представлен он в торговле, строительстве и транспорте.</w:t>
      </w:r>
    </w:p>
    <w:p w:rsidR="00FE5AE9" w:rsidRDefault="0092010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Отрасли социальной сферы и бытовых услуг недостаточно освоены малым бизнесом, хотя принципиально - это поле для широкого развития.</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Преобладающей формой собственности малых предприятий является частная. Ее доля в общем количестве предприятий составила 93,1 %, а в таких отраслях, как торговля потребительскими товарами и общественное питание - 97%.</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смешанной российской собственности относятся 6,1% предприятий, на долю совместной российской и иностранной собственности - 0,4% предприятий.</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Малый бизнес района представлен 494 предприятиями.</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оценок предприятий результатов их финансово - хозяйственной деятельности за 2010 год показал, что 30% предприятий от большего количества были устойчиво прибыльными.</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Продукция, производимая малыми предприятиями района многообразна, особенно широкий ассортимент представлен в пищевой промышленности: хлеб и хлебобулочные изделия, колбасные изделия и полуфабрикаты, безалкогольные напитки; в легкой промышленности - пошив швейных изделий.</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машиностроении и металлообработке малые предприятия в основном занимаются ремонтом тракторов, автомобильных двигателей, производством сварных металлоконструкций и запчастей.</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промышленности строительных материалов производятся стеновые </w:t>
      </w:r>
      <w:r>
        <w:rPr>
          <w:rFonts w:ascii="Times New Roman CYR" w:hAnsi="Times New Roman CYR" w:cs="Times New Roman CYR"/>
          <w:sz w:val="28"/>
          <w:szCs w:val="28"/>
        </w:rPr>
        <w:lastRenderedPageBreak/>
        <w:t>материалы, оконные и дверные блоки и деревянная тара.</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предприятиях малого бизнеса трудится 0,3% работающих от всего количества занятых в экономике.</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Малые предприятия оказывают населению парикмахерские, шьют и ремонтируют одежду, занимаются ремонтом электроприборов и радиоэлектронной аппаратуры, изготавливают и ремонтируют мебель, оказывают услуги в области фотографий, перевозят грузы, а также оказывают множество других услуг.</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отраслях экономики в Чеховском районе наметилась тенденция к увеличению численности работающих:</w:t>
      </w:r>
    </w:p>
    <w:p w:rsidR="00FE5AE9" w:rsidRDefault="00920100">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Wingdings" w:hAnsi="Wingdings" w:cs="Wingdings"/>
          <w:sz w:val="28"/>
          <w:szCs w:val="28"/>
        </w:rPr>
        <w:t></w:t>
      </w:r>
      <w:r>
        <w:rPr>
          <w:rFonts w:ascii="Wingdings" w:hAnsi="Wingdings" w:cs="Wingdings"/>
          <w:sz w:val="28"/>
          <w:szCs w:val="28"/>
        </w:rPr>
        <w:tab/>
      </w:r>
      <w:r>
        <w:rPr>
          <w:rFonts w:ascii="Times New Roman CYR" w:hAnsi="Times New Roman CYR" w:cs="Times New Roman CYR"/>
          <w:sz w:val="28"/>
          <w:szCs w:val="28"/>
        </w:rPr>
        <w:t>промышленность - на 250 человек (прирост численности дан за счет расширения производства ООО «Данон-Индустрия»);</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Wingdings" w:hAnsi="Wingdings" w:cs="Wingdings"/>
          <w:sz w:val="28"/>
          <w:szCs w:val="28"/>
        </w:rPr>
        <w:t></w:t>
      </w:r>
      <w:r>
        <w:rPr>
          <w:rFonts w:ascii="Wingdings" w:hAnsi="Wingdings" w:cs="Wingdings"/>
          <w:sz w:val="28"/>
          <w:szCs w:val="28"/>
        </w:rPr>
        <w:tab/>
      </w:r>
      <w:r>
        <w:rPr>
          <w:rFonts w:ascii="Times New Roman CYR" w:hAnsi="Times New Roman CYR" w:cs="Times New Roman CYR"/>
          <w:sz w:val="28"/>
          <w:szCs w:val="28"/>
        </w:rPr>
        <w:t>потребительский рынок - на 545 человек.</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 в то же время отрицательным фактором для экономики района является маятниковая миграция, то есть выезд за пределы района трудоспособного населения. При этом район теряет не только интеллектуальный и производственный потенциал, но и не дополучает налоги в бюджет. Один из путей ее решения- развитие малого бизнеса.</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Социальная политика Чеховского района представлена сложившейся системой здравоохранения, образования, культуры и спорта, социальной защиты и занятости населения.</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 вновь созданный социальный блок входят службы, которые взаимосвязаны между собой: здравоохранение, образование и соц. защита.</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Это объединение внесло положительные результаты. Ряд вопросов снимается сразу, решаются проблемы граждан совместно с управлениями здравоохранения и образования.</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Ведется работа по созданию ряда совместных учреждений, задачей </w:t>
      </w:r>
      <w:r>
        <w:rPr>
          <w:rFonts w:ascii="Times New Roman CYR" w:hAnsi="Times New Roman CYR" w:cs="Times New Roman CYR"/>
          <w:sz w:val="28"/>
          <w:szCs w:val="28"/>
        </w:rPr>
        <w:lastRenderedPageBreak/>
        <w:t>которых является, прежде всего, социальная защита граждан района.</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Уровень социальной обеспеченности населения не соответствует государственным стандартам и нормам.</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Обеспеченность на 10 тыс. человек составляет:</w:t>
      </w:r>
    </w:p>
    <w:p w:rsidR="00FE5AE9" w:rsidRDefault="00920100">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больничными койками - 60,7 шт.</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поликлиническими учреждениями -173,6 посещений в смену</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врачами - 26,2 чел.</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средним медицинским персоналом-65,8 чел.</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библиотеками-2,37</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домами культуры-2,27.</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базе детского сада № 20 создана реабилитационная группа для детей с ограниченными возможностями.</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дни летних каникул проведена оздоровительная компания для школьников.</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базе войсковой части был организован военно-спортивный лагерь для трудных подростков.</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рамках программы «Нет - алкоголизму и наркомании» открыт анонимный кабинет, где получают квалифицированную помощь московских специалистов.</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базе центра социального обслуживания открыт центр планирования семьи, где могут получить медицинскую, юридическую и психологическую консультации молодые семьи.</w:t>
      </w:r>
    </w:p>
    <w:p w:rsidR="00FE5AE9" w:rsidRDefault="0092010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районе осуществлены целенаправленные меры по поэтапной структурной реорганизации здравоохранения района.</w:t>
      </w:r>
    </w:p>
    <w:p w:rsidR="00FE5AE9" w:rsidRDefault="0092010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станции скорой медицинской помощи приобретены 4 санитарных автомашины, а также медицинское оборудование, необходимое для оказания медицинской помощи, пострадавшим на догоспитальном этапе.</w:t>
      </w:r>
    </w:p>
    <w:p w:rsidR="00FE5AE9" w:rsidRDefault="0092010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Совершенствовалась амбулаторно-клиническая помощь населению через внедрение таких форм работ, как стационар на дому, дневные стационары, что позволило сократить число необоснованной госпитализации больных.</w:t>
      </w:r>
    </w:p>
    <w:p w:rsidR="00FE5AE9" w:rsidRDefault="0092010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Мероприятия, проводимые в области здравоохранения, позволяют обеспечить деятельность лечебно- профилактических учреждений для получения гарантированной и качественной медицинской помощи населению.</w:t>
      </w:r>
    </w:p>
    <w:p w:rsidR="00FE5AE9" w:rsidRDefault="0092010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Учебно-материальная база учреждений образования района долгие годы не обновлялась, не велось новое строительство. Поэтому во вторую смену в районе в 10 городских и сельских школах около 2 тыс. учащихся. Впервые, за последние годы выделена статья бюджета «прочие текущие расходы», за счет этих средств был проведен косметический и текущий ремонт в учреждениях школьного и дошкольного образования.</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Вопросами перепрофилирования, обучения неработающего населения в районе занимается Центр занятости Чеховского района. Проводимые им в 2010 году мероприятия, были направлены:</w:t>
      </w:r>
    </w:p>
    <w:p w:rsidR="00FE5AE9" w:rsidRDefault="00920100">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Wingdings" w:hAnsi="Wingdings" w:cs="Wingdings"/>
          <w:sz w:val="28"/>
          <w:szCs w:val="28"/>
        </w:rPr>
        <w:t></w:t>
      </w:r>
      <w:r>
        <w:rPr>
          <w:rFonts w:ascii="Wingdings" w:hAnsi="Wingdings" w:cs="Wingdings"/>
          <w:sz w:val="28"/>
          <w:szCs w:val="28"/>
        </w:rPr>
        <w:tab/>
      </w:r>
      <w:r>
        <w:rPr>
          <w:rFonts w:ascii="Times New Roman CYR" w:hAnsi="Times New Roman CYR" w:cs="Times New Roman CYR"/>
          <w:sz w:val="28"/>
          <w:szCs w:val="28"/>
        </w:rPr>
        <w:t>на организацию общественных работ (240 чел.);</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Wingdings" w:hAnsi="Wingdings" w:cs="Wingdings"/>
          <w:sz w:val="28"/>
          <w:szCs w:val="28"/>
        </w:rPr>
        <w:t></w:t>
      </w:r>
      <w:r>
        <w:rPr>
          <w:rFonts w:ascii="Wingdings" w:hAnsi="Wingdings" w:cs="Wingdings"/>
          <w:sz w:val="28"/>
          <w:szCs w:val="28"/>
        </w:rPr>
        <w:tab/>
      </w:r>
      <w:r>
        <w:rPr>
          <w:rFonts w:ascii="Times New Roman CYR" w:hAnsi="Times New Roman CYR" w:cs="Times New Roman CYR"/>
          <w:sz w:val="28"/>
          <w:szCs w:val="28"/>
        </w:rPr>
        <w:t>трудоустройство несовершеннолетних граждан в летний период (1682 чел.);</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Wingdings" w:hAnsi="Wingdings" w:cs="Wingdings"/>
          <w:sz w:val="28"/>
          <w:szCs w:val="28"/>
        </w:rPr>
        <w:t></w:t>
      </w:r>
      <w:r>
        <w:rPr>
          <w:rFonts w:ascii="Wingdings" w:hAnsi="Wingdings" w:cs="Wingdings"/>
          <w:sz w:val="28"/>
          <w:szCs w:val="28"/>
        </w:rPr>
        <w:tab/>
      </w:r>
      <w:r>
        <w:rPr>
          <w:rFonts w:ascii="Times New Roman CYR" w:hAnsi="Times New Roman CYR" w:cs="Times New Roman CYR"/>
          <w:sz w:val="28"/>
          <w:szCs w:val="28"/>
        </w:rPr>
        <w:t>трудоустройство инвалидов (62 чел.).</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Тем не менее, на конец года зарегистрировано 508 безработных, с трудоустройством которых придется работать в этом году (уровень безработицы в 2010 году составил 1%.</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дошкольных образовательных учреждениях на 1000 детей дошкольного возраста организовано 786 мест. Количество обучающихся в первую смену к общему числу обучающихся в этих учреждениях составляет 84%. В районе выполняются все федеральные и областные законы по социальной защите населения. Кроме того, реализуется муниципальная программа социальной </w:t>
      </w:r>
      <w:r>
        <w:rPr>
          <w:rFonts w:ascii="Times New Roman CYR" w:hAnsi="Times New Roman CYR" w:cs="Times New Roman CYR"/>
          <w:sz w:val="28"/>
          <w:szCs w:val="28"/>
        </w:rPr>
        <w:lastRenderedPageBreak/>
        <w:t>защиты населения.</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рамках бюджета Чеховского района на здравоохранение и физкультуру в 2010 году было выделено- 11,98% от общих расходов бюджета, на соц. защиту - 10,22 %, на образование - 31,64%, на культуру- 3,19 %. В таблице 9 приведена структура расходов бюджета Чеховского района на социальную политику в 2003-2010гг.</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Основная задача администрации района - привести затраты бюджета на содержание и развитие социальной сферы в соответствие с утвержденным государственным стандартом.</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Город растет и развивается. Поднимаются и радуют жителей новые сооружения: спортивные комплексы и жилые дома, торговые центры и другие объекты социального назначения. В июле 2003 года в городе прошло торжественное открытие Дворца Спорта "Олимпийский" на 3500 мест. Многофункциональный спортивный комплекс, который является пока единственным в России, приспособлен не только для игровых видов спорта - гандбола, футбола и т.д., но и вмещает в себя бассейн, где проходят соревнования как российского, так и международного уровня по водному поло. Вслед за "Олимпийским" был сдан Ледовый Дворец спорта "Витязь".</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Вопросы социальной политики администрацией города ставятся во главу угла. К примеру, в городе активно работает «Аистенок»- Центр реабилитации и адаптации детей с ограниченными возможностями. Он создан в соответствии с Президентской программой «Дети России» для ребят с нарушениями опорно-двигательного аппарата и психоречевой задержкой, на учете в нем состоит 421 ребенок-инвалид.</w:t>
      </w:r>
    </w:p>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2.2 Демографическая характеристика Чеховского района Московской области</w:t>
      </w:r>
    </w:p>
    <w:p w:rsidR="00FE5AE9" w:rsidRDefault="00FE5AE9">
      <w:pPr>
        <w:widowControl w:val="0"/>
        <w:autoSpaceDE w:val="0"/>
        <w:autoSpaceDN w:val="0"/>
        <w:adjustRightInd w:val="0"/>
        <w:spacing w:after="0" w:line="360" w:lineRule="auto"/>
        <w:jc w:val="both"/>
        <w:rPr>
          <w:rFonts w:ascii="Times New Roman CYR" w:hAnsi="Times New Roman CYR" w:cs="Times New Roman CYR"/>
          <w:sz w:val="28"/>
          <w:szCs w:val="28"/>
        </w:rPr>
      </w:pP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Демографическая ситуация - это проявление особенностей воспроизводства населения за конкретный период на определенной территории (регионе, стране). Демографическая ситуация нуждается в постоянном анализе.</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Демографическая функция играет ведущую роль в социальном развитии общества. Уровень рождаемости и смертности, состояние здоровья и продолжительность жизни входят в число важнейших показателей, характеризующих состояние общества, степень его благополучия. Достоверные данные о тенденциях изменения основных демографических показателей являются необходимым основанием для прогнозирования развития системы образования и планирования системы образования на государственном и муниципальном уровне.</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Население Чеховского района составляет 109,9 тыс. человек, в том числе городское - </w:t>
      </w:r>
      <w:r>
        <w:rPr>
          <w:rFonts w:ascii="Times New Roman CYR" w:hAnsi="Times New Roman CYR" w:cs="Times New Roman CYR"/>
          <w:noProof/>
          <w:sz w:val="28"/>
          <w:szCs w:val="28"/>
        </w:rPr>
        <w:t xml:space="preserve">78,2 </w:t>
      </w:r>
      <w:r>
        <w:rPr>
          <w:rFonts w:ascii="Times New Roman CYR" w:hAnsi="Times New Roman CYR" w:cs="Times New Roman CYR"/>
          <w:sz w:val="28"/>
          <w:szCs w:val="28"/>
        </w:rPr>
        <w:t xml:space="preserve">тыс. человек, сельское- </w:t>
      </w:r>
      <w:r>
        <w:rPr>
          <w:rFonts w:ascii="Times New Roman CYR" w:hAnsi="Times New Roman CYR" w:cs="Times New Roman CYR"/>
          <w:noProof/>
          <w:sz w:val="28"/>
          <w:szCs w:val="28"/>
        </w:rPr>
        <w:t xml:space="preserve">31,7 </w:t>
      </w:r>
      <w:r>
        <w:rPr>
          <w:rFonts w:ascii="Times New Roman CYR" w:hAnsi="Times New Roman CYR" w:cs="Times New Roman CYR"/>
          <w:sz w:val="28"/>
          <w:szCs w:val="28"/>
        </w:rPr>
        <w:t>тыс. человек (табл.8). Рождаемость в 2010 в Чеховском районе сохранила тенденцию роста.</w:t>
      </w:r>
    </w:p>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8 Демографические показатели Чеховского района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10"/>
        <w:gridCol w:w="1509"/>
        <w:gridCol w:w="1080"/>
        <w:gridCol w:w="985"/>
        <w:gridCol w:w="865"/>
        <w:gridCol w:w="1338"/>
      </w:tblGrid>
      <w:tr w:rsidR="00FE5AE9">
        <w:tc>
          <w:tcPr>
            <w:tcW w:w="351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509"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Ед. измерения</w:t>
            </w:r>
          </w:p>
        </w:tc>
        <w:tc>
          <w:tcPr>
            <w:tcW w:w="108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2008г.</w:t>
            </w:r>
          </w:p>
        </w:tc>
        <w:tc>
          <w:tcPr>
            <w:tcW w:w="985"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2009г.</w:t>
            </w:r>
          </w:p>
        </w:tc>
        <w:tc>
          <w:tcPr>
            <w:tcW w:w="865"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2010г.</w:t>
            </w:r>
          </w:p>
        </w:tc>
        <w:tc>
          <w:tcPr>
            <w:tcW w:w="1338"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Динамика 2010г к 2009г, %</w:t>
            </w:r>
          </w:p>
        </w:tc>
      </w:tr>
      <w:tr w:rsidR="00FE5AE9">
        <w:tc>
          <w:tcPr>
            <w:tcW w:w="351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Численность постоянного населения</w:t>
            </w:r>
          </w:p>
        </w:tc>
        <w:tc>
          <w:tcPr>
            <w:tcW w:w="1509"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 чел</w:t>
            </w:r>
          </w:p>
        </w:tc>
        <w:tc>
          <w:tcPr>
            <w:tcW w:w="108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109,6</w:t>
            </w:r>
          </w:p>
        </w:tc>
        <w:tc>
          <w:tcPr>
            <w:tcW w:w="985"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109,6</w:t>
            </w:r>
          </w:p>
        </w:tc>
        <w:tc>
          <w:tcPr>
            <w:tcW w:w="865"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109,9</w:t>
            </w:r>
          </w:p>
        </w:tc>
        <w:tc>
          <w:tcPr>
            <w:tcW w:w="1338"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100,27</w:t>
            </w:r>
          </w:p>
        </w:tc>
      </w:tr>
      <w:tr w:rsidR="00FE5AE9">
        <w:tc>
          <w:tcPr>
            <w:tcW w:w="351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Численность городского населения</w:t>
            </w:r>
          </w:p>
        </w:tc>
        <w:tc>
          <w:tcPr>
            <w:tcW w:w="1509"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 чел</w:t>
            </w:r>
          </w:p>
        </w:tc>
        <w:tc>
          <w:tcPr>
            <w:tcW w:w="108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79,0</w:t>
            </w:r>
          </w:p>
        </w:tc>
        <w:tc>
          <w:tcPr>
            <w:tcW w:w="985"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78,9</w:t>
            </w:r>
          </w:p>
        </w:tc>
        <w:tc>
          <w:tcPr>
            <w:tcW w:w="865"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78,2</w:t>
            </w:r>
          </w:p>
        </w:tc>
        <w:tc>
          <w:tcPr>
            <w:tcW w:w="1338"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w:t>
            </w:r>
          </w:p>
        </w:tc>
      </w:tr>
      <w:tr w:rsidR="00FE5AE9">
        <w:tc>
          <w:tcPr>
            <w:tcW w:w="351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Численность сельского населения</w:t>
            </w:r>
          </w:p>
        </w:tc>
        <w:tc>
          <w:tcPr>
            <w:tcW w:w="1509"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 чел</w:t>
            </w:r>
          </w:p>
        </w:tc>
        <w:tc>
          <w:tcPr>
            <w:tcW w:w="108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30,6</w:t>
            </w:r>
          </w:p>
        </w:tc>
        <w:tc>
          <w:tcPr>
            <w:tcW w:w="985"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30,7</w:t>
            </w:r>
          </w:p>
        </w:tc>
        <w:tc>
          <w:tcPr>
            <w:tcW w:w="865"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31,7</w:t>
            </w:r>
          </w:p>
        </w:tc>
        <w:tc>
          <w:tcPr>
            <w:tcW w:w="1338"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104</w:t>
            </w:r>
          </w:p>
        </w:tc>
      </w:tr>
      <w:tr w:rsidR="00FE5AE9">
        <w:tc>
          <w:tcPr>
            <w:tcW w:w="351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Удельный вес городского населения в общей численности</w:t>
            </w:r>
          </w:p>
        </w:tc>
        <w:tc>
          <w:tcPr>
            <w:tcW w:w="1509"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8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79</w:t>
            </w:r>
          </w:p>
        </w:tc>
        <w:tc>
          <w:tcPr>
            <w:tcW w:w="985"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78</w:t>
            </w:r>
          </w:p>
        </w:tc>
        <w:tc>
          <w:tcPr>
            <w:tcW w:w="865"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78</w:t>
            </w:r>
          </w:p>
        </w:tc>
        <w:tc>
          <w:tcPr>
            <w:tcW w:w="1338"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FE5AE9">
        <w:tc>
          <w:tcPr>
            <w:tcW w:w="351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Удельный вес сельского населения в общей численности</w:t>
            </w:r>
          </w:p>
        </w:tc>
        <w:tc>
          <w:tcPr>
            <w:tcW w:w="1509"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8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w:t>
            </w:r>
          </w:p>
        </w:tc>
        <w:tc>
          <w:tcPr>
            <w:tcW w:w="985"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865"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w:t>
            </w:r>
          </w:p>
        </w:tc>
        <w:tc>
          <w:tcPr>
            <w:tcW w:w="1338"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bl>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2010 г. численность постоянного населения увеличилась на 0,3 тыс. человек (темп роста составил 100, 27%). Наряду с этим, уменьшилась численность городского населения (темп роста в 2010 г. составил 98%). Это обстоятельство является результатом миграционного прироста. Другим </w:t>
      </w:r>
      <w:r>
        <w:rPr>
          <w:rFonts w:ascii="Times New Roman CYR" w:hAnsi="Times New Roman CYR" w:cs="Times New Roman CYR"/>
          <w:sz w:val="28"/>
          <w:szCs w:val="28"/>
        </w:rPr>
        <w:lastRenderedPageBreak/>
        <w:t>фактором, влияющим на увеличение численности населения, является смещение массового строительства из города Москвы в близлежащие районы Московской области, в том числе и Чеховский район.</w:t>
      </w:r>
    </w:p>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Диаграмма 1</w:t>
      </w:r>
    </w:p>
    <w:p w:rsidR="00FE5AE9" w:rsidRDefault="001B7D3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052060" cy="30149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2060" cy="3014980"/>
                    </a:xfrm>
                    <a:prstGeom prst="rect">
                      <a:avLst/>
                    </a:prstGeom>
                    <a:noFill/>
                    <a:ln>
                      <a:noFill/>
                    </a:ln>
                  </pic:spPr>
                </pic:pic>
              </a:graphicData>
            </a:graphic>
          </wp:inline>
        </w:drawing>
      </w:r>
    </w:p>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как показатель общей численности постоянного населения является основной характеристикой муниципального образования, то из таблицы видно, что за последние 3 года общая численность постоянного населения в Чеховском районе увеличилась на 0,3 тыс. чел. Данный показатель имеет положительную динамику не за счет увеличения рождаемости, а за счет миграционного прироста). При этом, в процентном отношении численность сельского населения возросла, а городского - понизилась.</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численности постоянного населения представлена следующим образом (рис.3)</w:t>
      </w:r>
    </w:p>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1B7D3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2951480" cy="1492885"/>
            <wp:effectExtent l="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1480" cy="1492885"/>
                    </a:xfrm>
                    <a:prstGeom prst="rect">
                      <a:avLst/>
                    </a:prstGeom>
                    <a:noFill/>
                    <a:ln>
                      <a:noFill/>
                    </a:ln>
                  </pic:spPr>
                </pic:pic>
              </a:graphicData>
            </a:graphic>
          </wp:inline>
        </w:drawing>
      </w:r>
    </w:p>
    <w:p w:rsidR="00FE5AE9" w:rsidRDefault="0092010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Рис.3. Структура численности постоянного населения Чеховского района, тыс. чел</w:t>
      </w:r>
    </w:p>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Проанализировав показатели демографической ситуации, можно сделать вывод о том, что за период 2002- 2010 г.г. численность постоянного городского населения Чеховского района увеличилась на 13,7 тыс.чел., хотя в последние годы динамика не является столь стремительной (Таблица 9 ).</w:t>
      </w:r>
    </w:p>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9</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Численность городского населения Чеховского района, тыс. чел.</w:t>
      </w:r>
    </w:p>
    <w:tbl>
      <w:tblPr>
        <w:tblW w:w="0" w:type="auto"/>
        <w:tblInd w:w="-68" w:type="dxa"/>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000" w:firstRow="0" w:lastRow="0" w:firstColumn="0" w:lastColumn="0" w:noHBand="0" w:noVBand="0"/>
      </w:tblPr>
      <w:tblGrid>
        <w:gridCol w:w="3300"/>
        <w:gridCol w:w="1020"/>
        <w:gridCol w:w="1020"/>
        <w:gridCol w:w="1020"/>
        <w:gridCol w:w="1060"/>
      </w:tblGrid>
      <w:tr w:rsidR="00FE5AE9">
        <w:tc>
          <w:tcPr>
            <w:tcW w:w="330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w:t>
            </w:r>
          </w:p>
        </w:tc>
        <w:tc>
          <w:tcPr>
            <w:tcW w:w="102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2006</w:t>
            </w:r>
          </w:p>
        </w:tc>
        <w:tc>
          <w:tcPr>
            <w:tcW w:w="102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2007</w:t>
            </w:r>
          </w:p>
        </w:tc>
        <w:tc>
          <w:tcPr>
            <w:tcW w:w="102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2008</w:t>
            </w:r>
          </w:p>
        </w:tc>
        <w:tc>
          <w:tcPr>
            <w:tcW w:w="106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2009</w:t>
            </w:r>
          </w:p>
        </w:tc>
      </w:tr>
      <w:tr w:rsidR="00FE5AE9">
        <w:tc>
          <w:tcPr>
            <w:tcW w:w="330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Чеховский район</w:t>
            </w:r>
          </w:p>
        </w:tc>
        <w:tc>
          <w:tcPr>
            <w:tcW w:w="102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64,5</w:t>
            </w:r>
          </w:p>
        </w:tc>
        <w:tc>
          <w:tcPr>
            <w:tcW w:w="102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79,0</w:t>
            </w:r>
          </w:p>
        </w:tc>
        <w:tc>
          <w:tcPr>
            <w:tcW w:w="102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78,9</w:t>
            </w:r>
          </w:p>
        </w:tc>
        <w:tc>
          <w:tcPr>
            <w:tcW w:w="106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78,2</w:t>
            </w:r>
          </w:p>
        </w:tc>
      </w:tr>
    </w:tbl>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Наблюдается незначительное увеличение численности сельского населения в 2009 г. по сравнению с 2008 г. (на 1 тыс. человек). Количество постоянного сельского населения в 2009 г. составило 31,7 тыс. чел (Таблица 10).</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10 Численность сельского населения, тыс. чел.</w:t>
      </w:r>
    </w:p>
    <w:tbl>
      <w:tblPr>
        <w:tblW w:w="0" w:type="auto"/>
        <w:tblInd w:w="-68" w:type="dxa"/>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000" w:firstRow="0" w:lastRow="0" w:firstColumn="0" w:lastColumn="0" w:noHBand="0" w:noVBand="0"/>
      </w:tblPr>
      <w:tblGrid>
        <w:gridCol w:w="3300"/>
        <w:gridCol w:w="1020"/>
        <w:gridCol w:w="1020"/>
        <w:gridCol w:w="1020"/>
        <w:gridCol w:w="1060"/>
      </w:tblGrid>
      <w:tr w:rsidR="00FE5AE9">
        <w:tc>
          <w:tcPr>
            <w:tcW w:w="330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w:t>
            </w:r>
          </w:p>
        </w:tc>
        <w:tc>
          <w:tcPr>
            <w:tcW w:w="102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2006</w:t>
            </w:r>
          </w:p>
        </w:tc>
        <w:tc>
          <w:tcPr>
            <w:tcW w:w="102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2007</w:t>
            </w:r>
          </w:p>
        </w:tc>
        <w:tc>
          <w:tcPr>
            <w:tcW w:w="102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2008</w:t>
            </w:r>
          </w:p>
        </w:tc>
        <w:tc>
          <w:tcPr>
            <w:tcW w:w="106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2009</w:t>
            </w:r>
          </w:p>
        </w:tc>
      </w:tr>
      <w:tr w:rsidR="00FE5AE9">
        <w:tc>
          <w:tcPr>
            <w:tcW w:w="330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Чеховский район</w:t>
            </w:r>
          </w:p>
        </w:tc>
        <w:tc>
          <w:tcPr>
            <w:tcW w:w="102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28,3</w:t>
            </w:r>
          </w:p>
        </w:tc>
        <w:tc>
          <w:tcPr>
            <w:tcW w:w="102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30,6</w:t>
            </w:r>
          </w:p>
        </w:tc>
        <w:tc>
          <w:tcPr>
            <w:tcW w:w="102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30,7</w:t>
            </w:r>
          </w:p>
        </w:tc>
        <w:tc>
          <w:tcPr>
            <w:tcW w:w="106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31,7</w:t>
            </w:r>
          </w:p>
        </w:tc>
      </w:tr>
    </w:tbl>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демографической ситуации имеет важное значение для прогноза количества учащихся, будущих абитуриентов, студентов. Особенно это важно для ВУЗов потому, что необходимо открывать новые специальности и регулировать количество набора, необходимо повышать качество образования, использовать новые технологии, стремиться к улучшению условий предоставления образовательных услуг, тем самым, повышая престиж собственного учебного заведения.</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Диаграмме 2 представлены данные о суммарном количестве детей, которые закончат школу в 2014- 2015 гг. Мы можем видеть вполне ожидаемую тенденцию к сокращению числа выпускников.</w:t>
      </w:r>
    </w:p>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Диаграмма 2</w:t>
      </w:r>
    </w:p>
    <w:p w:rsidR="00FE5AE9" w:rsidRDefault="001B7D3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901565" cy="26098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01565" cy="2609850"/>
                    </a:xfrm>
                    <a:prstGeom prst="rect">
                      <a:avLst/>
                    </a:prstGeom>
                    <a:noFill/>
                    <a:ln>
                      <a:noFill/>
                    </a:ln>
                  </pic:spPr>
                </pic:pic>
              </a:graphicData>
            </a:graphic>
          </wp:inline>
        </w:drawing>
      </w:r>
    </w:p>
    <w:p w:rsidR="00FE5AE9" w:rsidRDefault="00FE5A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11 Прогноз численности различных категорий учащихся в общеобразовательных школах Чеховского района в 2008 - 20010 гг.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28"/>
        <w:gridCol w:w="1275"/>
        <w:gridCol w:w="958"/>
        <w:gridCol w:w="851"/>
        <w:gridCol w:w="885"/>
      </w:tblGrid>
      <w:tr w:rsidR="00FE5AE9">
        <w:tc>
          <w:tcPr>
            <w:tcW w:w="4928"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Категории учащихся</w:t>
            </w:r>
          </w:p>
        </w:tc>
        <w:tc>
          <w:tcPr>
            <w:tcW w:w="3969" w:type="dxa"/>
            <w:gridSpan w:val="4"/>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Численность (тыс. чел.)</w:t>
            </w:r>
          </w:p>
        </w:tc>
      </w:tr>
      <w:tr w:rsidR="00FE5AE9">
        <w:tc>
          <w:tcPr>
            <w:tcW w:w="4928" w:type="dxa"/>
            <w:tcBorders>
              <w:top w:val="single" w:sz="6" w:space="0" w:color="auto"/>
              <w:left w:val="single" w:sz="6" w:space="0" w:color="auto"/>
              <w:bottom w:val="single" w:sz="6" w:space="0" w:color="auto"/>
              <w:right w:val="single" w:sz="6" w:space="0" w:color="auto"/>
            </w:tcBorders>
          </w:tcPr>
          <w:p w:rsidR="00FE5AE9" w:rsidRDefault="00FE5AE9">
            <w:pPr>
              <w:widowControl w:val="0"/>
              <w:autoSpaceDE w:val="0"/>
              <w:autoSpaceDN w:val="0"/>
              <w:adjustRightInd w:val="0"/>
              <w:spacing w:after="0" w:line="240" w:lineRule="auto"/>
              <w:rPr>
                <w:rFonts w:ascii="Times New Roman CYR" w:hAnsi="Times New Roman CYR" w:cs="Times New Roman CYR"/>
                <w:sz w:val="20"/>
                <w:szCs w:val="20"/>
              </w:rPr>
            </w:pPr>
          </w:p>
        </w:tc>
        <w:tc>
          <w:tcPr>
            <w:tcW w:w="1275"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 г(факт)</w:t>
            </w:r>
          </w:p>
        </w:tc>
        <w:tc>
          <w:tcPr>
            <w:tcW w:w="2694" w:type="dxa"/>
            <w:gridSpan w:val="3"/>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Прогноз</w:t>
            </w:r>
          </w:p>
        </w:tc>
      </w:tr>
      <w:tr w:rsidR="00FE5AE9">
        <w:tc>
          <w:tcPr>
            <w:tcW w:w="4928" w:type="dxa"/>
            <w:tcBorders>
              <w:top w:val="single" w:sz="6" w:space="0" w:color="auto"/>
              <w:left w:val="single" w:sz="6" w:space="0" w:color="auto"/>
              <w:bottom w:val="single" w:sz="6" w:space="0" w:color="auto"/>
              <w:right w:val="single" w:sz="6" w:space="0" w:color="auto"/>
            </w:tcBorders>
          </w:tcPr>
          <w:p w:rsidR="00FE5AE9" w:rsidRDefault="00FE5AE9">
            <w:pPr>
              <w:widowControl w:val="0"/>
              <w:autoSpaceDE w:val="0"/>
              <w:autoSpaceDN w:val="0"/>
              <w:adjustRightInd w:val="0"/>
              <w:spacing w:after="0" w:line="240" w:lineRule="auto"/>
              <w:rPr>
                <w:rFonts w:ascii="Times New Roman CYR" w:hAnsi="Times New Roman CYR" w:cs="Times New Roman CYR"/>
                <w:sz w:val="20"/>
                <w:szCs w:val="20"/>
              </w:rPr>
            </w:pPr>
          </w:p>
        </w:tc>
        <w:tc>
          <w:tcPr>
            <w:tcW w:w="1275" w:type="dxa"/>
            <w:tcBorders>
              <w:top w:val="single" w:sz="6" w:space="0" w:color="auto"/>
              <w:left w:val="single" w:sz="6" w:space="0" w:color="auto"/>
              <w:bottom w:val="single" w:sz="6" w:space="0" w:color="auto"/>
              <w:right w:val="single" w:sz="6" w:space="0" w:color="auto"/>
            </w:tcBorders>
          </w:tcPr>
          <w:p w:rsidR="00FE5AE9" w:rsidRDefault="00FE5AE9">
            <w:pPr>
              <w:widowControl w:val="0"/>
              <w:autoSpaceDE w:val="0"/>
              <w:autoSpaceDN w:val="0"/>
              <w:adjustRightInd w:val="0"/>
              <w:spacing w:after="0" w:line="240" w:lineRule="auto"/>
              <w:rPr>
                <w:rFonts w:ascii="Times New Roman CYR" w:hAnsi="Times New Roman CYR" w:cs="Times New Roman CYR"/>
                <w:sz w:val="20"/>
                <w:szCs w:val="20"/>
              </w:rPr>
            </w:pPr>
          </w:p>
        </w:tc>
        <w:tc>
          <w:tcPr>
            <w:tcW w:w="958"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 г.</w:t>
            </w:r>
          </w:p>
        </w:tc>
        <w:tc>
          <w:tcPr>
            <w:tcW w:w="851"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 г.</w:t>
            </w:r>
          </w:p>
        </w:tc>
        <w:tc>
          <w:tcPr>
            <w:tcW w:w="885"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 г.</w:t>
            </w:r>
          </w:p>
        </w:tc>
      </w:tr>
      <w:tr w:rsidR="00FE5AE9">
        <w:tc>
          <w:tcPr>
            <w:tcW w:w="4928"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1 - 4 классы</w:t>
            </w:r>
          </w:p>
        </w:tc>
        <w:tc>
          <w:tcPr>
            <w:tcW w:w="1275"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261,7</w:t>
            </w:r>
          </w:p>
        </w:tc>
        <w:tc>
          <w:tcPr>
            <w:tcW w:w="958"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304,6</w:t>
            </w:r>
          </w:p>
        </w:tc>
        <w:tc>
          <w:tcPr>
            <w:tcW w:w="851"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297,4</w:t>
            </w:r>
          </w:p>
        </w:tc>
        <w:tc>
          <w:tcPr>
            <w:tcW w:w="885"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289,9</w:t>
            </w:r>
          </w:p>
        </w:tc>
      </w:tr>
      <w:tr w:rsidR="00FE5AE9">
        <w:tc>
          <w:tcPr>
            <w:tcW w:w="4928"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5 - 11 классы</w:t>
            </w:r>
          </w:p>
        </w:tc>
        <w:tc>
          <w:tcPr>
            <w:tcW w:w="1275"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558,7</w:t>
            </w:r>
          </w:p>
        </w:tc>
        <w:tc>
          <w:tcPr>
            <w:tcW w:w="958"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688,3</w:t>
            </w:r>
          </w:p>
        </w:tc>
        <w:tc>
          <w:tcPr>
            <w:tcW w:w="851"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678,2</w:t>
            </w:r>
          </w:p>
        </w:tc>
        <w:tc>
          <w:tcPr>
            <w:tcW w:w="885"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658,1</w:t>
            </w:r>
          </w:p>
        </w:tc>
      </w:tr>
      <w:tr w:rsidR="00FE5AE9">
        <w:tc>
          <w:tcPr>
            <w:tcW w:w="4928"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 многодетных и социально незащищенных семей</w:t>
            </w:r>
          </w:p>
        </w:tc>
        <w:tc>
          <w:tcPr>
            <w:tcW w:w="1275"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219,5</w:t>
            </w:r>
          </w:p>
        </w:tc>
        <w:tc>
          <w:tcPr>
            <w:tcW w:w="958"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241,2</w:t>
            </w:r>
          </w:p>
        </w:tc>
        <w:tc>
          <w:tcPr>
            <w:tcW w:w="851"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252,2</w:t>
            </w:r>
          </w:p>
        </w:tc>
        <w:tc>
          <w:tcPr>
            <w:tcW w:w="885"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248,1</w:t>
            </w:r>
          </w:p>
        </w:tc>
      </w:tr>
    </w:tbl>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Соответственно, филиалам ВУЗов, работающим в Чеховском районе, следует рассчитывать на снижение количества абитуриентов. И если в 2009- 2011 гг., количество абитуриентов будет достаточно высоким, то в последующие года эти цифры достаточно сильно сократятся.</w:t>
      </w:r>
    </w:p>
    <w:p w:rsidR="00FE5AE9" w:rsidRDefault="00920100">
      <w:pPr>
        <w:widowControl w:val="0"/>
        <w:tabs>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анализ демографической ситуации выявил, что в настоящее время ситуация стабильна, но прогноз до 2015 г. показал, что существует тенденция к снижению численности постоянного населения. Согласно данным детских районных поликлиник, подтвержденный результатами подворного обхода, демографическая яма наиболее ярко проявилась в 2009 году. Данная ситуация отражает положение России, в последнее десятилетие </w:t>
      </w:r>
      <w:r>
        <w:rPr>
          <w:rFonts w:ascii="Times New Roman CYR" w:hAnsi="Times New Roman CYR" w:cs="Times New Roman CYR"/>
          <w:sz w:val="28"/>
          <w:szCs w:val="28"/>
          <w:lang w:val="en-US"/>
        </w:rPr>
        <w:t>XX</w:t>
      </w:r>
      <w:r>
        <w:rPr>
          <w:rFonts w:ascii="Times New Roman CYR" w:hAnsi="Times New Roman CYR" w:cs="Times New Roman CYR"/>
          <w:sz w:val="28"/>
          <w:szCs w:val="28"/>
        </w:rPr>
        <w:t xml:space="preserve"> века бумерангом ударило по демографической ситуации и негативно отразилось на уровне жизни населения.</w:t>
      </w:r>
    </w:p>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2.3 Характеристика Управления образованием г. Чехова Московской области</w:t>
      </w:r>
    </w:p>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За развитие и совершенствование образовательной инфраструктуры Чеховского района Управление образования &lt;http://www.krasnoznamensk.com/authority/3/edu/&gt;.</w:t>
      </w:r>
    </w:p>
    <w:p w:rsidR="00FE5AE9" w:rsidRDefault="0092010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Управление образования Администрации города Чехова Московской области создано в соответствии с постановлением № 45 Главы города Чехова от 22 января 2003 года в порядке реорганизации Управления образования, культуры и молодежной политики администрации г. Чехова и является правопреемником его прав и обязанностей в соответствии с передаточным актом. Управление </w:t>
      </w:r>
      <w:r>
        <w:rPr>
          <w:rFonts w:ascii="Times New Roman CYR" w:hAnsi="Times New Roman CYR" w:cs="Times New Roman CYR"/>
          <w:sz w:val="28"/>
          <w:szCs w:val="28"/>
        </w:rPr>
        <w:lastRenderedPageBreak/>
        <w:t>является юридическим лицом, имеет самостоятельный баланс, бюджетные и иные счета, имеет печать с гербом города Чехова, другие печати бланки и штампы, необходимые для его деятельности.</w:t>
      </w:r>
    </w:p>
    <w:p w:rsidR="00FE5AE9" w:rsidRDefault="0092010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Управление создано в целях реализации государственной политики в сфере образования, опеки и попечительства над несовершеннолетними, защиты имущественных и личных неимущественных прав и охраняемых законом интересов несовершеннолетних.</w:t>
      </w:r>
    </w:p>
    <w:p w:rsidR="00FE5AE9" w:rsidRDefault="0092010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Работа управления образования направлена на совершенствование образовательной инфраструктуры города &lt;http://www.krasnoznamensk.com/city/4/&gt;, обеспечивающей условия развития, обучения и воспитания граждан в соответствии с наклонностями, способностями и состоянием здоровья, посредством разработки и использования современных образовательных программ и технологий, проведения спортивно-массовых мероприятий, приобщения к ценностям отечественной и мировой культуры, качественное улучшение гражданско патриотического воспитания подрастающего поколения.</w:t>
      </w:r>
    </w:p>
    <w:p w:rsidR="00FE5AE9" w:rsidRDefault="0092010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Учредителем Управления является Администрация города Чехова.</w:t>
      </w:r>
    </w:p>
    <w:p w:rsidR="00FE5AE9" w:rsidRDefault="0092010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Финансирование деятельности Управления осуществляется за счет средств местного бюджета.</w:t>
      </w:r>
    </w:p>
    <w:p w:rsidR="00FE5AE9" w:rsidRDefault="0092010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Управление в своей деятельности руководствуется Конституцией Российской Федерации, федеральными законами, указами Президента Российской Федерации, постановлениями и распоряжениями Правительства Российской Федерации, решениями и приказами Министерства образования, нормативно-правовыми актами Московской области, Уставом города Чехова Московской области, распоряжениями и постановлениями Главы города, решениями Совета депутатов города Чехова Московской области, постановлениями и распоряжениями Администрации города Чехова Московской области, а также настоящим Положением.</w:t>
      </w:r>
    </w:p>
    <w:p w:rsidR="00FE5AE9" w:rsidRDefault="0092010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Управление осуществляет свою работу во взаимодействии с другими органами местного самоуправления, организациями (учреждениями) города Чехова. Управление является структурным подразделением Администрации города Чехова.</w:t>
      </w:r>
    </w:p>
    <w:p w:rsidR="00FE5AE9" w:rsidRDefault="0092010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Управление от своего имени приобретает имущественные и неимущественные права и несет обязанности, выступает истцом и ответчиком в суде в соответствии с действующим законодательством.</w:t>
      </w:r>
    </w:p>
    <w:p w:rsidR="00FE5AE9" w:rsidRDefault="0092010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Управление отвечает по своим обязательствам находящимися в его распоряжении денежными средствами. При их недостаточности субсидиарную ответственность по обязательствам Управления несет Учредитель.</w:t>
      </w:r>
    </w:p>
    <w:p w:rsidR="00FE5AE9" w:rsidRDefault="0092010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Управление образования решает задачи местного значения в области образования, опеки и попечительства над несовершеннолетними, защиты имущественных и личных неимущественных прав и охраняемых законом </w:t>
      </w:r>
      <w:r>
        <w:rPr>
          <w:rFonts w:ascii="Times New Roman CYR" w:hAnsi="Times New Roman CYR" w:cs="Times New Roman CYR"/>
          <w:sz w:val="28"/>
          <w:szCs w:val="28"/>
        </w:rPr>
        <w:lastRenderedPageBreak/>
        <w:t>интересов несовершеннолетних на территории города Чехова в пределах прав и обязанностей, установленных Положением об Управлении образования.</w:t>
      </w:r>
    </w:p>
    <w:p w:rsidR="00FE5AE9" w:rsidRDefault="0092010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Основными задачами Управления в области образования являются:</w:t>
      </w:r>
    </w:p>
    <w:p w:rsidR="00FE5AE9" w:rsidRDefault="00920100">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Осуществление государственной политики в области образования, обеспечивающей необходимые условия для реализации конституционного права граждан России, проживающих на территории города, на получение образования.</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Общее руководство, планирование, организация, регулирование, координация и контроль деятельности образовательных учреждений города.</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Разработка и утверждение требований к содержанию образования, учебным планам и программам, в соответствии с государственным образовательным стандартом.</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Информирование населения города, через средства массовой информации, о работе Управления в области образования. Ежегодная публикация среднестатистических показателей о соответствии федеральным и местным требованиям условий осуществления образовательного процесса в образовательных учреждениях города.</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Создание условий для реализации дошкольного, начального общего, основного общего и среднего (полного) общего, а также дополнительного образования. Организация мероприятий по оздоровлению воспитанников и обучающихся.</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Совершенствование организационно - экономического механизма функционирования системы образования в городе.</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Организация деятельности образовательных учреждений города по воспитанию у обучающихся воспитанников чувств патриотизма, гражданственности, трудолюбия, уважение к правам и свободам человека любви к окружающей природе, Родине, семье.</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Обеспечение гражданам, проживающим на территории города, </w:t>
      </w:r>
      <w:r>
        <w:rPr>
          <w:rFonts w:ascii="Times New Roman CYR" w:hAnsi="Times New Roman CYR" w:cs="Times New Roman CYR"/>
          <w:sz w:val="28"/>
          <w:szCs w:val="28"/>
        </w:rPr>
        <w:lastRenderedPageBreak/>
        <w:t>возможности выбора образовательного учреждения города.</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Поддержка различных форм образования и самообразования.</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Организация системы работы с детьми, подростками с отклонениями в поведении и недостатками умственного и физического развития.</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Выработка стратегии развития сферы образования города, участие в перспективном планировании развития отрасли, строительства, реконструкции и ремонта образовательных учреждений города и осуществление контроля за использованием по назначению их материальной базы.</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Поддержка национальных, этнических, культурных традиций, поддержка развития негосударственного сектора в системе образования города.</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Участие, в пределах своей компетенции, в государственной оценке качества учебно-воспитательного процесса, аккредитации и лицензировании образовательной деятельности в образовательных учреждениях города.</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Реализация кадровой политики; организация подготовки повышения квалификации, аттестации педагогических и руководящих работников, социальная поддержка работников образования.</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Развитие и координация связей между образовательными учреждениями города, межрегиональных связей в рамках компетенции Управления.</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Регулирование в пределах своей компетенции имущественных отношений в образовательных учреждениях города.</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Участие в создании, реорганизации и ликвидации муниципальных образовательных учреждений города.</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Контроль условий аренды зданий, помещений и иных объектов, находящихся в оперативном управлении образовательных учреждений города.</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 прошлый год по искам Управления образования и прокуратуры в районном суде было удовлетворено 18 исков по лишению родительских прав. </w:t>
      </w:r>
      <w:r>
        <w:rPr>
          <w:rFonts w:ascii="Times New Roman CYR" w:hAnsi="Times New Roman CYR" w:cs="Times New Roman CYR"/>
          <w:sz w:val="28"/>
          <w:szCs w:val="28"/>
        </w:rPr>
        <w:lastRenderedPageBreak/>
        <w:t>Число родителей, не желающих воспитывать своих детей, уклоняющихся от ответственности за их жизнь и здоровье, растет из года в год.</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Организационная структура Управления образованием представлена на рис. 3</w:t>
      </w:r>
    </w:p>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1B7D3A">
      <w:pPr>
        <w:widowControl w:val="0"/>
        <w:autoSpaceDE w:val="0"/>
        <w:autoSpaceDN w:val="0"/>
        <w:adjustRightInd w:val="0"/>
        <w:spacing w:after="0" w:line="240" w:lineRule="auto"/>
        <w:ind w:firstLine="426"/>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9144000" cy="547497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44000" cy="5474970"/>
                    </a:xfrm>
                    <a:prstGeom prst="rect">
                      <a:avLst/>
                    </a:prstGeom>
                    <a:noFill/>
                    <a:ln>
                      <a:noFill/>
                    </a:ln>
                  </pic:spPr>
                </pic:pic>
              </a:graphicData>
            </a:graphic>
          </wp:inline>
        </w:drawing>
      </w:r>
    </w:p>
    <w:p w:rsidR="00FE5AE9" w:rsidRDefault="00FE5AE9">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Базовым источником пополнения кадров является Администрация города Чехова. Немало хороших кадров пришло из Отдела детства и материнства Администрации района. Необходимо отметить, что 11 человек Управления образования имеют высшее и средне- специальное педагогическое образование и </w:t>
      </w:r>
      <w:r>
        <w:rPr>
          <w:rFonts w:ascii="Times New Roman CYR" w:hAnsi="Times New Roman CYR" w:cs="Times New Roman CYR"/>
          <w:sz w:val="28"/>
          <w:szCs w:val="28"/>
        </w:rPr>
        <w:lastRenderedPageBreak/>
        <w:t>в прошлом были учителями школ района. Необходимо отметить, что руководством Отдела придается первостепенное значение обучению кадров. С этой целью разработана целая система по обучению сотрудников. Так, ежеквартально проводятся тематические семинары- совещания, на которых рассматриваются насущные вопросы. Эти семинары позволяют отработать единый подход к систему муниципального образования Чеховского района.</w:t>
      </w:r>
    </w:p>
    <w:p w:rsidR="00FE5AE9" w:rsidRDefault="00920100">
      <w:pPr>
        <w:widowControl w:val="0"/>
        <w:tabs>
          <w:tab w:val="left" w:pos="96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Текучесть кадров в Управлении отсутствует. Это говорит о том, что коллектив устоявшийся, но необходима переквалификация и получение высшего образования по специальности. Большинство сотрудников имеют 10 -15 летний опыт работы, и в результате работы приобрели достаточный навык и знания.</w:t>
      </w:r>
    </w:p>
    <w:p w:rsidR="00FE5AE9" w:rsidRDefault="0092010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Проведя анализ кадрового обеспечения и управления персоналом, можно сделать вывод, что кадровое обеспечение достаточно для осуществления деятельности. Для улучшения работы организации нет необходимости введения новых штатных единиц. Сотрудники поощряются ежеквартальными премиями, материальной помощью при рождении ребенка и прочее.</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Важно - сделать функционирование муниципальной системы образования более эффективно. Что касается взаимозаменяемости, то разумно было бы проводить перестановку кадров на участках в зависимости от загруженности того или иного сектора.</w:t>
      </w:r>
    </w:p>
    <w:p w:rsidR="00FE5AE9" w:rsidRDefault="00920100">
      <w:pPr>
        <w:widowControl w:val="0"/>
        <w:tabs>
          <w:tab w:val="left" w:pos="96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Штат сотрудников Управления образования Чеховского района представлен на Схеме 1.</w:t>
      </w:r>
    </w:p>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Схема 1</w:t>
      </w:r>
    </w:p>
    <w:p w:rsidR="00FE5AE9" w:rsidRDefault="001B7D3A">
      <w:pPr>
        <w:widowControl w:val="0"/>
        <w:autoSpaceDE w:val="0"/>
        <w:autoSpaceDN w:val="0"/>
        <w:adjustRightInd w:val="0"/>
        <w:spacing w:after="0" w:line="240" w:lineRule="auto"/>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815965" cy="52609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5965" cy="5260975"/>
                    </a:xfrm>
                    <a:prstGeom prst="rect">
                      <a:avLst/>
                    </a:prstGeom>
                    <a:noFill/>
                    <a:ln>
                      <a:noFill/>
                    </a:ln>
                  </pic:spPr>
                </pic:pic>
              </a:graphicData>
            </a:graphic>
          </wp:inline>
        </w:drawing>
      </w:r>
    </w:p>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анализ организационной структуры Управления образования Чеховского района показал, что управление осуществляется с помощью экономических, административных и социально- психологических методов. Служащие Управления образования полностью отвечают квалификационным требованиям муниципальной службы.</w:t>
      </w:r>
    </w:p>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2.4 Анализ сети образовательных учреждений Чеховского района</w:t>
      </w:r>
    </w:p>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Муниципальная система образования города включает в себя школы, гимназии, лицеи, филиалы высших учебных заведений, училища и кроме того, множество различных фирм, осуществляющих подготовку и переподготовку кадров (Схема 2).</w:t>
      </w:r>
    </w:p>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FE5AE9">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Схема 2. Структура системы образования Чеховского района</w:t>
      </w:r>
    </w:p>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Чеховском районе функционирует 81 образовательное учреждение.</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Бесплатное дополнительное образование можно получить в шести учреждениях дополнительного образования по художественно - эстетическому, научно - техническому, туристско - краеведческому и спортивному направлениям, в которых занималось 4235 детей.</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Чеховском районе работает три филиала и пять Представительств высших учебных учреждений. Один филиал среднего специального учебного заведений, два средних профессиональных училища, Мещерское медицинское училище, Чеховский механико-технологический техникум, Скурыгинская спецшкола. В этих учреждениях получают высшее и среднее специальное образование 3 тысячи студентов. В образовательных учреждениях Чеховского района уделяют должное внимание вопросам охраны труда, техники безопасности и антитеррористической защищённости. Седьмой зональный слёт - соревнование "Школа безопасности" учащихся Московской области состоялся в мае 2009 года на территории Чеховского района. В соревнованиях участвовали 14 команд. В этих соревнованиях Чеховская команда средней школы №8 заняла второе место, а команда гимназии №7 - первое место. Управление образования уделяло большое внимание опытно - экспериментальной работе.</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Проведены 18 предметных районных олимпиад для старшеклассников по следующим предметам: русскому языку, литературе, математике, физике, химии, биологии, истории, географии, информатике, иностранному языку, трудовому обучению. 156 учащихся стали победителями предметных районных олимпиад. 32 человека были направлены на областной тур, четверо из них были награждены дипломами Министерства образования Московской области. Учащиеся гимназии №7 стали лауреатами Всероссийского открытого конкурса научно- </w:t>
      </w:r>
      <w:r>
        <w:rPr>
          <w:rFonts w:ascii="Times New Roman CYR" w:hAnsi="Times New Roman CYR" w:cs="Times New Roman CYR"/>
          <w:sz w:val="28"/>
          <w:szCs w:val="28"/>
        </w:rPr>
        <w:lastRenderedPageBreak/>
        <w:t>исследовательских и творческих работ "Юность, наука, культура". Воспитанники учреждений дополнительного образования активно участвовали в областных, Всероссийских, международных соревнованиях, конкурсах, фестивалях. 7 коллективов и 40 учащихся стали победителями и призёрами областных конкурсов, 10 учеников - победили во Всероссийских соревнованиях, 5 человек - победители и призёры Международных соревнований.</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всех талантливых детей в мае 2009 года был проведен районный праздник "Созвездие лучших" на базе КТЦ "Дружба".</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управлении образования создана и успешно работает психологическая служба, в состав которой входят 35 педагогов - психологов. Продолжается работа по профильному обучению, в связи с реализацией проекта по действию модели сетевой организации в Чеховском районе. Действуют шесть опорных школ. Работает Ассоциация специалистов профильных классов. Создано научное общество. Действует Центр "Образование и карьера". Ведутся курсы "Твоя профессиональная карьера", "Я выбираю профессию".</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апреле 2010 года Управлением образования проводился районный месячник профориентации, состоялась "Ярмарка учебных мест" для учащихся 9-11 классов. Прошла вторая районная научно - практическая конференция по защите ученических проектов, посвящённых 60-летию Великой победы. Создана и действует Чеховская Ассоциация Детских организаций - ЧАДО "Лопасненский росток"". В нее вошли 28 первичных школьных организаций. В ходе подготовки к празднованию 60-летия Великой победы специалистами Управления образования были проведены районные мероприятия: операция "Знамёна Памяти", игра "Знатоки", акция "Спасибо Вам". Члены детской организации "Неформалия" средней школы №8 провели поисковую работу, был собран большой материал о герое Советского Союза А.И. Маркове. По инициативе совета ЧАДО была проведена районная акция "Детям Беслана", в ходе которой </w:t>
      </w:r>
      <w:r>
        <w:rPr>
          <w:rFonts w:ascii="Times New Roman CYR" w:hAnsi="Times New Roman CYR" w:cs="Times New Roman CYR"/>
          <w:sz w:val="28"/>
          <w:szCs w:val="28"/>
        </w:rPr>
        <w:lastRenderedPageBreak/>
        <w:t>было собрано и отправлено в адрес Красного Креста 39 посылок с игрушками и канцтоварами. Проект "ЧАДО - г. Чехову" победил в районном конкурсе мини - грантов и выделены денежные средства для открытия сайта "ЧАДО" в Интернете.</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Сегодня в спортивных секциях по 26 видам занимается около 8,5 тысяч человек, это не только дети, но и их родители. В городе имеется Олимпийский дворец спорта, хоккейный ледовый центр. В школах открыты спортивные классы, в которых занимаются "Юные медвежата", будущие спортсмены по водному поло, разработаны спортивные нормы ГТО. Серьёзное внимание уделяется массовым видам спорта: баскетболу, футболу, боксу, хоккею, гимнастике, синхронному плаванию, русской лапте, тяжёлой атлетике. Дети Чеховского района участвуют не только в районных и областных, но и во всероссийских и международных спартакиадах. В прошедшем учебном году наша спортивная школа заняла второе место в областном смотре-конкурсе "Олимпийская надежда" на приз Губернатора Московской области. Было подготовлено: 3 мастера спорта. 22 кандидата в Мастера спорта. Проведено 40 районных мероприятий с охватом учащихся - 3900 человек. Наши спортсмены приняли участие в 32-областных, 20- Российских, 8- Международных соревнованиях. Пятый год успешно проходит игра "Зарница", в которой участвуют юноши и девушки всех школ района (более 500 чел.). Победители этих соревнований Администрацией Чеховского района были награждены экскурсионной поездкой в г. Санкт - Петербург.</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Летом 2010 года в оздоровительных лагерях отдохнуло 1195 детей и подростков. Во всех дошкольных учреждениях были открыты и действовали оздоровительные площадки. Лагеря дневного пребывания работали на базе 29 общеобразовательных учреждений. На базе школ №8, Мещерской, Любучанской работали две оздоровительные площадки для детей с девиантным поведением и </w:t>
      </w:r>
      <w:r>
        <w:rPr>
          <w:rFonts w:ascii="Times New Roman CYR" w:hAnsi="Times New Roman CYR" w:cs="Times New Roman CYR"/>
          <w:sz w:val="28"/>
          <w:szCs w:val="28"/>
        </w:rPr>
        <w:lastRenderedPageBreak/>
        <w:t>две экологические бригады. Специалисты отдела реализации молодёжной политики в июле месяце организовали православный лагерь с дневным пребыванием "Тропинка" на базе Анно- Зачатьевской церкви и "Небо зовёт" на базе Объединенного аэроклуба Волосово.</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Работа с молодежью в районе осуществляется через отдел реализации молодежной политики Управления образования Администрации Чеховского муниципального района. Основные направления работы: организация досуга, конкурсов и вечеров, трудоустройство подростков, организация трудовых бригад, работа лагерей труда и отдыха, ежемесячные антинаркотические акции ("Молодежь против наркотиков") и т.д. Ведется работа по созданию первичных молодежных организаций в учреждениях начального, среднего специального и высшего образования. В районе 10 лет успешно работает Центр социально-трудовой адаптации, где более 250 "трудных" подростков не только обучаются профессии, но и получают образование в вечерней сменной школе.</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органе опеки и попечительства на учете состоит 290 детей- сирот и детей, оставшихся без попечения родителей. Из них: в детском доме - 37 человек, в приюте с. Молоди - 25 человек, в группе интернатного типа на базе детского сада № 46 с. Стремилово - 4 человека. На базе школы - интернат №1 работает группа для детей - сирот, имеющих отклонения в развитии, сейчас в ней находится 8 человек. В районе есть четыре приёмные семьи, где воспитывается 5 детей. Реализуя Закон Московской области от 5.07.2003 года "О патронате", в районе создано 9 семей, в которых проживает 12 несовершеннолетних детей находящихся на постинтернатном патронате, из них 7 человек - воспитанники детского дома. Между Управлением образования и Благочинием Чеховского района подписано Соглашение о сотрудничестве. Духовное воспитание подрастающего поколения - это общая задача работников образования и представителей духовенства. Вот почему при храмах Чеховского района в летнее </w:t>
      </w:r>
      <w:r>
        <w:rPr>
          <w:rFonts w:ascii="Times New Roman CYR" w:hAnsi="Times New Roman CYR" w:cs="Times New Roman CYR"/>
          <w:sz w:val="28"/>
          <w:szCs w:val="28"/>
        </w:rPr>
        <w:lastRenderedPageBreak/>
        <w:t>время организованы и работают лагеря труда и отдыха для трудных подростков и для детей "группы риска".</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Дополнительное образование касается изучения иностранных языков, работы с компьютером и программным обеспечением. Также предлагается обучение бухгалтерскому делу (для имеющих среднее образование), вождению, кройке и шитью.</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Это связано с возросшей потребностью в кадрах с данной квалификацией. Но в настоящее время произошло насыщение рынка данными специалистами, тем более что уровень их квалификации не достаточно высок.</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данный момент в Чеховском районе произошел спад предложения образовательных услуг, предлагаемых предпринимательскими фирмами. Так как более высококвалифицированную подготовку дают высшие учебные и среднетехнические заведения, которые имеют более подготовленную техническую и материальную базу и возможность развивать на ее основе непрерывное образование. То есть учащийся уже в старших классах школы может выбрать ВУЗ для получения дальнейшего образования. Поступая в старший класс определенного профиля, он получает дополнительную подготовку и преимущество для поступления в ВУЗ на выбранную специальность. Для анализа перспективы развития образования в Чеховском районе был проведен опрос среди учащихся 9-11 классов. В ходе анкетирования было опрошено 1000 учеников 9, 10 и 11 классов. На основе полученных данных после опроса можно сделать следующие выводы: 100 % учеников собираются получать высшее образование, 88 % собираются посещать подготовительные курсы, 36% собираются получить экономическую специальность, 27% инженерную, 15% юридическую, 6% гуманитарную, 6% собираются стать военными, 4% медицинскую, 3% стать социальными работниками, 3% получить специальность иного рода (рис. 4).</w:t>
      </w:r>
    </w:p>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1B7D3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906520" cy="11461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06520" cy="1146175"/>
                    </a:xfrm>
                    <a:prstGeom prst="rect">
                      <a:avLst/>
                    </a:prstGeom>
                    <a:noFill/>
                    <a:ln>
                      <a:noFill/>
                    </a:ln>
                  </pic:spPr>
                </pic:pic>
              </a:graphicData>
            </a:graphic>
          </wp:inline>
        </w:drawing>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Рис.4. Наиболее популярные специальности среди учащихся 9-11 классов</w:t>
      </w:r>
    </w:p>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же было выявлено, что 70% опрошенных собираются получать образование в г. Москве, а 6% в г. Чехове, 24% в иных городах; 88% будут обучаться по дневной форме обучения, а 12% по вечерней и заочной; 61% положительно относиться к обучения в филиале; 27% учащихся знают о существовании филиала МГАПИ, 15% знают о Современной Гуманитарной Академии (СГА), 58% об иных учебных заведениях г.Чехова района.</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Среди источников получения информации о ВУЗах 26% узнают об учебных заведениях из Интернета, 20% из газет, 9% из справочников; 45% от друзей, знакомых и т.д.; 73 % хотят устроиться на работу после обучения по знакомству, 24% через кадровое агентство, 3% по объявлению; и на вопрос необходимо ли ВУЗу трудоустраивать своих выпускников, положительно ответили 100 %.</w:t>
      </w:r>
    </w:p>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1B7D3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067050" cy="141795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67050" cy="1417955"/>
                    </a:xfrm>
                    <a:prstGeom prst="rect">
                      <a:avLst/>
                    </a:prstGeom>
                    <a:noFill/>
                    <a:ln>
                      <a:noFill/>
                    </a:ln>
                  </pic:spPr>
                </pic:pic>
              </a:graphicData>
            </a:graphic>
          </wp:inline>
        </w:drawing>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5 Источники получения информации о ВУЗах</w:t>
      </w:r>
    </w:p>
    <w:p w:rsidR="00FE5AE9" w:rsidRDefault="00FE5AE9">
      <w:pPr>
        <w:widowControl w:val="0"/>
        <w:tabs>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tabs>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Социологический опрос поможет оценить перспективы деятельности филиалов ВУЗов в Чеховском районе.</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городе широко развита сеть репетиторства, как возможности дополнительного получения знаний по определенным предметам. Но на данном этапе потребность в высококвалифицированных специалистах в интеллектуальной области значительно спала. В то же время возрос спрос на средне-технические специальности (токарь; техник по ремонту разного рода оборудования; слесарь; электронщик и т. п.), но предложение данного рода специалистов значительно велико. Колледжи не справляются с возросшим спросом на данного вида специальности, так как не хватает средств и устарела техническая база. А так же многие из них перепрофилировали некоторые направления своей деятельности, ориентировав их на возросшие потребности рынка, возникшие в переходный период. Это заняло определенное количество материальных средств, которые в последствии, в связи с резким спадом, не принесли ожидаемого результата.</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Следовательно, в настоящее время рынок образовательных услуг Чеховского района характеризуется предложением образовательных услуг в области высокоинтеллектуальных профессий. Но спрос на них спадает, что вызывает переизбыток молодых специалистов, которые не могут устроиться по данным специальностям.</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Выбор после школьного образования зависит еще и от государственной программы (специалисту с дипломом платят больше), а так же от пола (нежелание служить в армии), материального обеспечения (интеллектуальный труд более высокооплачиваемый).</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последнее время в связи с развитием рыночных отношений начинает появляться спрос на новые виды образовательных услуг, которого раньше не было.</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Предъявителями такого спроса являются люди, желающие получить дополнительное образование в некоторой, вполне определенной области, или желающие получить дополнительную профессию, но получение которой не требует сравнительно высоких материальных и временных затрат.</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Услуги по дополнительной подготовке кадров требуются предприятиям всех форм собственности, для дополнительной подготовке квалифицированных специалистов в связи с внедрением новых технологий (обучение работе с ПО, с кассовыми аппаратами, дополнительное обучение, связанное с лицензированием).</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же требуется дополнительное обучение для предпринимателей. Им требуются дополнительные знания по экономике, системе налогообложения, навыки работы на ПЭВМ, культуре делового общения и так далее.</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этому же виду спроса относится спрос на различные курсы бухгалтеров, секретарей, делопроизводителей, деловой этики и т. п.</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заказчиками таких образовательных услуг являются организации, направляющие своих работников на подобные курсы.</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sz w:val="28"/>
          <w:szCs w:val="28"/>
        </w:rPr>
        <w:br w:type="page"/>
      </w:r>
      <w:r>
        <w:rPr>
          <w:rFonts w:ascii="Times New Roman CYR" w:hAnsi="Times New Roman CYR" w:cs="Times New Roman CYR"/>
          <w:caps/>
          <w:sz w:val="28"/>
          <w:szCs w:val="28"/>
        </w:rPr>
        <w:lastRenderedPageBreak/>
        <w:t>2.4.1 Анализ сети дошкольных образовательных учреждений</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Чеховском районе сеть дошкольных учреждений насчитывает 42 учебных заведения. С 2008 по 2010 гг. было закрыто 2 дошкольных образовательных учреждения.</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Муниципальных ДОУ- 39</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Ведомственных- 3.</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ДОУ расположены в городе, 27 ДОУ- на селе.</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муниципальные детские сады имеют лицензии на право ведения воспитательно-образовательного процесса. Все ДОУ аттестованы.</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связи с уменьшением проектной мощности детских дошкольных образовательных учреждений (динамика 2010 г. к 2009 г. составили 98%), уменьшилось количество возможного приема детей (табл.12).</w:t>
      </w:r>
    </w:p>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12 Число дошкольных образовательных учреждений, ед.</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35"/>
        <w:gridCol w:w="1312"/>
        <w:gridCol w:w="1312"/>
        <w:gridCol w:w="1312"/>
        <w:gridCol w:w="2868"/>
      </w:tblGrid>
      <w:tr w:rsidR="00FE5AE9">
        <w:tc>
          <w:tcPr>
            <w:tcW w:w="2235"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31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2008г.</w:t>
            </w:r>
          </w:p>
        </w:tc>
        <w:tc>
          <w:tcPr>
            <w:tcW w:w="131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2009г.</w:t>
            </w:r>
          </w:p>
        </w:tc>
        <w:tc>
          <w:tcPr>
            <w:tcW w:w="131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2010г.</w:t>
            </w:r>
          </w:p>
        </w:tc>
        <w:tc>
          <w:tcPr>
            <w:tcW w:w="2868"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Динамика 2010г к 2009 г, %</w:t>
            </w:r>
          </w:p>
        </w:tc>
      </w:tr>
      <w:tr w:rsidR="00FE5AE9">
        <w:tc>
          <w:tcPr>
            <w:tcW w:w="2235"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 области в целом</w:t>
            </w:r>
          </w:p>
        </w:tc>
        <w:tc>
          <w:tcPr>
            <w:tcW w:w="131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1929</w:t>
            </w:r>
          </w:p>
        </w:tc>
        <w:tc>
          <w:tcPr>
            <w:tcW w:w="131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1925</w:t>
            </w:r>
          </w:p>
        </w:tc>
        <w:tc>
          <w:tcPr>
            <w:tcW w:w="131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1927</w:t>
            </w:r>
          </w:p>
        </w:tc>
        <w:tc>
          <w:tcPr>
            <w:tcW w:w="2868"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w:t>
            </w:r>
          </w:p>
        </w:tc>
      </w:tr>
      <w:tr w:rsidR="00FE5AE9">
        <w:tc>
          <w:tcPr>
            <w:tcW w:w="2235"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 Чеховскому району</w:t>
            </w:r>
          </w:p>
        </w:tc>
        <w:tc>
          <w:tcPr>
            <w:tcW w:w="131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44</w:t>
            </w:r>
          </w:p>
        </w:tc>
        <w:tc>
          <w:tcPr>
            <w:tcW w:w="131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43</w:t>
            </w:r>
          </w:p>
        </w:tc>
        <w:tc>
          <w:tcPr>
            <w:tcW w:w="131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42</w:t>
            </w:r>
          </w:p>
        </w:tc>
        <w:tc>
          <w:tcPr>
            <w:tcW w:w="2868"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w:t>
            </w:r>
          </w:p>
        </w:tc>
      </w:tr>
    </w:tbl>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Ситуация с уменьшением количества дошкольных образовательных учреждений в Чеховском районе дублирует ситуацию по области в целом. Несмотря на то, что в 2010 г. в эксплуатацию было введено два дошкольных образовательных учреждения, динамика 2009 г. показывает уменьшение количества ДОУ на 4 учреждения.</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2009 г. вступили в силу новые санитарные правила, согласно которым наполняемость групп должна снизиться. В связи с этим существует необходимость в увеличении количества дошкольных образовательных учреждений.</w:t>
      </w:r>
    </w:p>
    <w:p w:rsidR="00FE5AE9" w:rsidRDefault="00920100">
      <w:pPr>
        <w:widowControl w:val="0"/>
        <w:tabs>
          <w:tab w:val="left" w:pos="94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Уменьшение количества ДОУ района и увеличение численности детей </w:t>
      </w:r>
      <w:r>
        <w:rPr>
          <w:rFonts w:ascii="Times New Roman CYR" w:hAnsi="Times New Roman CYR" w:cs="Times New Roman CYR"/>
          <w:sz w:val="28"/>
          <w:szCs w:val="28"/>
        </w:rPr>
        <w:lastRenderedPageBreak/>
        <w:t>(Таблица 13) в будущем может создать очередность по устройству детей в ДОУ.</w:t>
      </w:r>
    </w:p>
    <w:p w:rsidR="00FE5AE9" w:rsidRDefault="00920100">
      <w:pPr>
        <w:widowControl w:val="0"/>
        <w:tabs>
          <w:tab w:val="left" w:pos="94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13</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Численность детей в дошкольных образовательных учреждениях, чел.</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35"/>
        <w:gridCol w:w="1312"/>
        <w:gridCol w:w="1312"/>
        <w:gridCol w:w="1312"/>
        <w:gridCol w:w="3009"/>
      </w:tblGrid>
      <w:tr w:rsidR="00FE5AE9">
        <w:tc>
          <w:tcPr>
            <w:tcW w:w="2235"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31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2008г.</w:t>
            </w:r>
          </w:p>
        </w:tc>
        <w:tc>
          <w:tcPr>
            <w:tcW w:w="131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2009г.</w:t>
            </w:r>
          </w:p>
        </w:tc>
        <w:tc>
          <w:tcPr>
            <w:tcW w:w="131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2010г.</w:t>
            </w:r>
          </w:p>
        </w:tc>
        <w:tc>
          <w:tcPr>
            <w:tcW w:w="3009"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Динамика 2010 г к 2009г, %</w:t>
            </w:r>
          </w:p>
        </w:tc>
      </w:tr>
      <w:tr w:rsidR="00FE5AE9">
        <w:tc>
          <w:tcPr>
            <w:tcW w:w="2235"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 области в целом</w:t>
            </w:r>
          </w:p>
        </w:tc>
        <w:tc>
          <w:tcPr>
            <w:tcW w:w="131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190666</w:t>
            </w:r>
          </w:p>
        </w:tc>
        <w:tc>
          <w:tcPr>
            <w:tcW w:w="131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194258</w:t>
            </w:r>
          </w:p>
        </w:tc>
        <w:tc>
          <w:tcPr>
            <w:tcW w:w="131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201470</w:t>
            </w:r>
          </w:p>
        </w:tc>
        <w:tc>
          <w:tcPr>
            <w:tcW w:w="3009"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103,6</w:t>
            </w:r>
          </w:p>
        </w:tc>
      </w:tr>
      <w:tr w:rsidR="00FE5AE9">
        <w:tc>
          <w:tcPr>
            <w:tcW w:w="2235"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 Чеховскому району</w:t>
            </w:r>
          </w:p>
        </w:tc>
        <w:tc>
          <w:tcPr>
            <w:tcW w:w="131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3960</w:t>
            </w:r>
          </w:p>
        </w:tc>
        <w:tc>
          <w:tcPr>
            <w:tcW w:w="131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3919</w:t>
            </w:r>
          </w:p>
        </w:tc>
        <w:tc>
          <w:tcPr>
            <w:tcW w:w="131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3963</w:t>
            </w:r>
          </w:p>
        </w:tc>
        <w:tc>
          <w:tcPr>
            <w:tcW w:w="3009"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101,1</w:t>
            </w:r>
          </w:p>
        </w:tc>
      </w:tr>
    </w:tbl>
    <w:p w:rsidR="00FE5AE9" w:rsidRDefault="00FE5AE9">
      <w:pPr>
        <w:widowControl w:val="0"/>
        <w:tabs>
          <w:tab w:val="left" w:pos="1680"/>
        </w:tabs>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tabs>
          <w:tab w:val="left" w:pos="16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целом по области и району сохраняется положительная динамика численности детей в дошкольных образовательных учреждениях, но, как показал анализ демографической ситуации, прогнозы на ближайшие 10 лет не вполне оптимистичные. Уменьшение количества детей в семьях связано, прежде всего, с финансовыми трудностями, недоступностью покупки жилья и другими условиями.</w:t>
      </w:r>
    </w:p>
    <w:p w:rsidR="00FE5AE9" w:rsidRDefault="00920100">
      <w:pPr>
        <w:widowControl w:val="0"/>
        <w:tabs>
          <w:tab w:val="left" w:pos="16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Несмотря на то, что в Чеховском районе не существует проблемы по устройству детей в ДОУ, особое внимание уделяется детям, относящимся к льготной категории.</w:t>
      </w:r>
      <w:r>
        <w:rPr>
          <w:rFonts w:ascii="Times New Roman CYR" w:hAnsi="Times New Roman CYR" w:cs="Times New Roman CYR"/>
          <w:sz w:val="28"/>
          <w:szCs w:val="28"/>
        </w:rPr>
        <w:tab/>
        <w:t>Постановка на очередь по устройству ребенка в муниципальные детские сады осуществляется в Управлении образования Чеховского района с момента рождения ребенка.</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Содержание дошкольного образования представлено комплексно-целевыми программами:</w:t>
      </w:r>
    </w:p>
    <w:p w:rsidR="00FE5AE9" w:rsidRDefault="00920100">
      <w:pPr>
        <w:widowControl w:val="0"/>
        <w:tabs>
          <w:tab w:val="left" w:pos="0"/>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Программу «Воспитание и обучение в детском саду» под редакцией М.А. Васильевой с учетом методических рекомендаций «Ориентиры» и требования к обновлению содержания дошкольного образования Коротковой и Михайленко реализуют все ДОУ.</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«Из детства в отрочество» - 4 ДОУ (№№ 1, 4, 14, 20).</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«Развитие» Венгер - 1 (ДОУ № 11).</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«Сообщество» - 1 (ДОУ № 13).</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Образовательные системы «Школа - 2000», «Школа - 2100» под руководством А.А. Леонтьева - 6 (ДОУ №№ 12, 16, 24, 26, 30, д/о Г-9).</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«Кроха» - 1 (ДОУ № 2).</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sz w:val="28"/>
          <w:szCs w:val="28"/>
        </w:rPr>
        <w:br w:type="page"/>
      </w:r>
      <w:r>
        <w:rPr>
          <w:rFonts w:ascii="Times New Roman CYR" w:hAnsi="Times New Roman CYR" w:cs="Times New Roman CYR"/>
          <w:caps/>
          <w:sz w:val="28"/>
          <w:szCs w:val="28"/>
        </w:rPr>
        <w:lastRenderedPageBreak/>
        <w:t>2.4.2 Анализ сети общеобразовательных учреждений</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общего образования состоит из трёх ступеней, определяемых программами соответствующего уровня: начальное, общее, основное общее, среднее (полное) общее.</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Чеховском районе действует 34 школы, из них: сельских (средних) - 16, городских (средних) - 6, гимназий - 2, лицей - 1, начальных- 6, вечерняя сменная - 1, школ-интернатов- 2.</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Таблице 15 представленные данные о количестве дневных общеобразовательных учреждений в 2003 -2010 гг.</w:t>
      </w:r>
    </w:p>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15 Количество дневных общеобразовательных учреждений в 2003- 2010 г., ед.</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18"/>
        <w:gridCol w:w="1464"/>
        <w:gridCol w:w="1414"/>
        <w:gridCol w:w="1052"/>
        <w:gridCol w:w="1414"/>
        <w:gridCol w:w="1052"/>
      </w:tblGrid>
      <w:tr w:rsidR="00FE5AE9">
        <w:tc>
          <w:tcPr>
            <w:tcW w:w="2518"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464"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2003/2008 уч.г.</w:t>
            </w:r>
          </w:p>
        </w:tc>
        <w:tc>
          <w:tcPr>
            <w:tcW w:w="1414"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2008/2009 уч.г.</w:t>
            </w:r>
          </w:p>
        </w:tc>
        <w:tc>
          <w:tcPr>
            <w:tcW w:w="105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2009г к 2008г, %</w:t>
            </w:r>
          </w:p>
        </w:tc>
        <w:tc>
          <w:tcPr>
            <w:tcW w:w="1414"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2009/2010 уч.г.</w:t>
            </w:r>
          </w:p>
        </w:tc>
        <w:tc>
          <w:tcPr>
            <w:tcW w:w="105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2010г к 2009г, %</w:t>
            </w:r>
          </w:p>
        </w:tc>
      </w:tr>
      <w:tr w:rsidR="00FE5AE9">
        <w:tc>
          <w:tcPr>
            <w:tcW w:w="2518"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 области в целом</w:t>
            </w:r>
          </w:p>
        </w:tc>
        <w:tc>
          <w:tcPr>
            <w:tcW w:w="1464"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1625</w:t>
            </w:r>
          </w:p>
        </w:tc>
        <w:tc>
          <w:tcPr>
            <w:tcW w:w="1414"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1622</w:t>
            </w:r>
          </w:p>
        </w:tc>
        <w:tc>
          <w:tcPr>
            <w:tcW w:w="105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99,8</w:t>
            </w:r>
          </w:p>
        </w:tc>
        <w:tc>
          <w:tcPr>
            <w:tcW w:w="1414"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1615</w:t>
            </w:r>
          </w:p>
        </w:tc>
        <w:tc>
          <w:tcPr>
            <w:tcW w:w="105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99,5</w:t>
            </w:r>
          </w:p>
        </w:tc>
      </w:tr>
      <w:tr w:rsidR="00FE5AE9">
        <w:tc>
          <w:tcPr>
            <w:tcW w:w="2518"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 Чеховскому району</w:t>
            </w:r>
          </w:p>
        </w:tc>
        <w:tc>
          <w:tcPr>
            <w:tcW w:w="1464"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w:t>
            </w:r>
          </w:p>
        </w:tc>
        <w:tc>
          <w:tcPr>
            <w:tcW w:w="1414"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w:t>
            </w:r>
          </w:p>
        </w:tc>
        <w:tc>
          <w:tcPr>
            <w:tcW w:w="105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414"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w:t>
            </w:r>
          </w:p>
        </w:tc>
        <w:tc>
          <w:tcPr>
            <w:tcW w:w="105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r>
    </w:tbl>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Несмотря на то, что по Московской области наблюдается динамика уменьшения количества дневных общеобразовательных учреждений (в 2008- 2009 г.г. темпы роста составили 99,8%; динамика 2009- 2010 г. составляет 99,5%), в Чеховском районе количество дневных общеобразовательных учреждений остается стабильным и составляет 34.</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Школы города имеют научных консультантов из числа ведущих ученых вузов. Образовательные учреждения города являются площадками федерального или регионального уровня. В активную практику входит создание научных обществ учащихся (их в городе 3), научно-исследовательских лабораторий (2). Все чаще школы проводят научно-практические конференции как итог совместной научно-исследовательской работы учащегося и педагога. В системе образования района действует 9 учреждений дополнительного образования </w:t>
      </w:r>
      <w:r>
        <w:rPr>
          <w:rFonts w:ascii="Times New Roman CYR" w:hAnsi="Times New Roman CYR" w:cs="Times New Roman CYR"/>
          <w:sz w:val="28"/>
          <w:szCs w:val="28"/>
        </w:rPr>
        <w:lastRenderedPageBreak/>
        <w:t>детей: многопрофильные центры, профильные учреждения художественно-эстетического, научно-технического, физкультурно-спортивного направлений. Основное внимание уделяется развитию интересов, творчества, склонностей и дарований учащихся, их профессиональному самоопределению, организации разумного досуга и отдыха. В школах и учреждениях дополнительного образования дети имеют возможность заниматься в кружках и клубах по различным направлениям, включая спортивные секции, научно-технические кружки и научные общества.</w:t>
      </w:r>
    </w:p>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16 Численность учащихся в дневных общеобразовательных школах в 2003- 2010 г., чел.</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18"/>
        <w:gridCol w:w="1464"/>
        <w:gridCol w:w="1414"/>
        <w:gridCol w:w="1052"/>
        <w:gridCol w:w="1414"/>
        <w:gridCol w:w="1052"/>
      </w:tblGrid>
      <w:tr w:rsidR="00FE5AE9">
        <w:tc>
          <w:tcPr>
            <w:tcW w:w="2518"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Показатели2003/2008 уч.г.2008/2009 уч.г.2009г к 2008г, %2009/2010 уч.г.2010г к 2008г, %</w:t>
            </w:r>
          </w:p>
        </w:tc>
        <w:tc>
          <w:tcPr>
            <w:tcW w:w="1464" w:type="dxa"/>
            <w:tcBorders>
              <w:top w:val="single" w:sz="6" w:space="0" w:color="auto"/>
              <w:left w:val="single" w:sz="6" w:space="0" w:color="auto"/>
              <w:bottom w:val="single" w:sz="6" w:space="0" w:color="auto"/>
              <w:right w:val="single" w:sz="6" w:space="0" w:color="auto"/>
            </w:tcBorders>
          </w:tcPr>
          <w:p w:rsidR="00FE5AE9" w:rsidRDefault="00FE5AE9">
            <w:pPr>
              <w:widowControl w:val="0"/>
              <w:autoSpaceDE w:val="0"/>
              <w:autoSpaceDN w:val="0"/>
              <w:adjustRightInd w:val="0"/>
              <w:spacing w:after="0" w:line="240" w:lineRule="auto"/>
              <w:rPr>
                <w:rFonts w:ascii="Times New Roman CYR" w:hAnsi="Times New Roman CYR" w:cs="Times New Roman CYR"/>
                <w:sz w:val="20"/>
                <w:szCs w:val="20"/>
              </w:rPr>
            </w:pPr>
          </w:p>
        </w:tc>
        <w:tc>
          <w:tcPr>
            <w:tcW w:w="1414" w:type="dxa"/>
            <w:tcBorders>
              <w:top w:val="single" w:sz="6" w:space="0" w:color="auto"/>
              <w:left w:val="single" w:sz="6" w:space="0" w:color="auto"/>
              <w:bottom w:val="single" w:sz="6" w:space="0" w:color="auto"/>
              <w:right w:val="single" w:sz="6" w:space="0" w:color="auto"/>
            </w:tcBorders>
          </w:tcPr>
          <w:p w:rsidR="00FE5AE9" w:rsidRDefault="00FE5AE9">
            <w:pPr>
              <w:widowControl w:val="0"/>
              <w:autoSpaceDE w:val="0"/>
              <w:autoSpaceDN w:val="0"/>
              <w:adjustRightInd w:val="0"/>
              <w:spacing w:after="0" w:line="240" w:lineRule="auto"/>
              <w:rPr>
                <w:rFonts w:ascii="Times New Roman CYR" w:hAnsi="Times New Roman CYR" w:cs="Times New Roman CYR"/>
                <w:sz w:val="20"/>
                <w:szCs w:val="20"/>
              </w:rPr>
            </w:pPr>
          </w:p>
        </w:tc>
        <w:tc>
          <w:tcPr>
            <w:tcW w:w="1052" w:type="dxa"/>
            <w:tcBorders>
              <w:top w:val="single" w:sz="6" w:space="0" w:color="auto"/>
              <w:left w:val="single" w:sz="6" w:space="0" w:color="auto"/>
              <w:bottom w:val="single" w:sz="6" w:space="0" w:color="auto"/>
              <w:right w:val="single" w:sz="6" w:space="0" w:color="auto"/>
            </w:tcBorders>
          </w:tcPr>
          <w:p w:rsidR="00FE5AE9" w:rsidRDefault="00FE5AE9">
            <w:pPr>
              <w:widowControl w:val="0"/>
              <w:autoSpaceDE w:val="0"/>
              <w:autoSpaceDN w:val="0"/>
              <w:adjustRightInd w:val="0"/>
              <w:spacing w:after="0" w:line="240" w:lineRule="auto"/>
              <w:rPr>
                <w:rFonts w:ascii="Times New Roman CYR" w:hAnsi="Times New Roman CYR" w:cs="Times New Roman CYR"/>
                <w:sz w:val="20"/>
                <w:szCs w:val="20"/>
              </w:rPr>
            </w:pPr>
          </w:p>
        </w:tc>
        <w:tc>
          <w:tcPr>
            <w:tcW w:w="1414" w:type="dxa"/>
            <w:tcBorders>
              <w:top w:val="single" w:sz="6" w:space="0" w:color="auto"/>
              <w:left w:val="single" w:sz="6" w:space="0" w:color="auto"/>
              <w:bottom w:val="single" w:sz="6" w:space="0" w:color="auto"/>
              <w:right w:val="single" w:sz="6" w:space="0" w:color="auto"/>
            </w:tcBorders>
          </w:tcPr>
          <w:p w:rsidR="00FE5AE9" w:rsidRDefault="00FE5AE9">
            <w:pPr>
              <w:widowControl w:val="0"/>
              <w:autoSpaceDE w:val="0"/>
              <w:autoSpaceDN w:val="0"/>
              <w:adjustRightInd w:val="0"/>
              <w:spacing w:after="0" w:line="240" w:lineRule="auto"/>
              <w:rPr>
                <w:rFonts w:ascii="Times New Roman CYR" w:hAnsi="Times New Roman CYR" w:cs="Times New Roman CYR"/>
                <w:sz w:val="20"/>
                <w:szCs w:val="20"/>
              </w:rPr>
            </w:pPr>
          </w:p>
        </w:tc>
        <w:tc>
          <w:tcPr>
            <w:tcW w:w="1052" w:type="dxa"/>
            <w:tcBorders>
              <w:top w:val="single" w:sz="6" w:space="0" w:color="auto"/>
              <w:left w:val="single" w:sz="6" w:space="0" w:color="auto"/>
              <w:bottom w:val="single" w:sz="6" w:space="0" w:color="auto"/>
              <w:right w:val="single" w:sz="6" w:space="0" w:color="auto"/>
            </w:tcBorders>
          </w:tcPr>
          <w:p w:rsidR="00FE5AE9" w:rsidRDefault="00FE5AE9">
            <w:pPr>
              <w:widowControl w:val="0"/>
              <w:autoSpaceDE w:val="0"/>
              <w:autoSpaceDN w:val="0"/>
              <w:adjustRightInd w:val="0"/>
              <w:spacing w:after="0" w:line="240" w:lineRule="auto"/>
              <w:rPr>
                <w:rFonts w:ascii="Times New Roman CYR" w:hAnsi="Times New Roman CYR" w:cs="Times New Roman CYR"/>
                <w:sz w:val="20"/>
                <w:szCs w:val="20"/>
              </w:rPr>
            </w:pPr>
          </w:p>
        </w:tc>
      </w:tr>
      <w:tr w:rsidR="00FE5AE9">
        <w:tc>
          <w:tcPr>
            <w:tcW w:w="2518"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 области в целом</w:t>
            </w:r>
          </w:p>
        </w:tc>
        <w:tc>
          <w:tcPr>
            <w:tcW w:w="1464"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692235</w:t>
            </w:r>
          </w:p>
        </w:tc>
        <w:tc>
          <w:tcPr>
            <w:tcW w:w="1414"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673822</w:t>
            </w:r>
          </w:p>
        </w:tc>
        <w:tc>
          <w:tcPr>
            <w:tcW w:w="105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97,34</w:t>
            </w:r>
          </w:p>
        </w:tc>
        <w:tc>
          <w:tcPr>
            <w:tcW w:w="1414"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639097</w:t>
            </w:r>
          </w:p>
        </w:tc>
        <w:tc>
          <w:tcPr>
            <w:tcW w:w="105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92,32</w:t>
            </w:r>
          </w:p>
        </w:tc>
      </w:tr>
      <w:tr w:rsidR="00FE5AE9">
        <w:tc>
          <w:tcPr>
            <w:tcW w:w="2518"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 Чеховскому району</w:t>
            </w:r>
          </w:p>
        </w:tc>
        <w:tc>
          <w:tcPr>
            <w:tcW w:w="1464"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11667</w:t>
            </w:r>
          </w:p>
        </w:tc>
        <w:tc>
          <w:tcPr>
            <w:tcW w:w="1414"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11303</w:t>
            </w:r>
          </w:p>
        </w:tc>
        <w:tc>
          <w:tcPr>
            <w:tcW w:w="105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97,06</w:t>
            </w:r>
          </w:p>
        </w:tc>
        <w:tc>
          <w:tcPr>
            <w:tcW w:w="1414"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noProof/>
                <w:sz w:val="20"/>
                <w:szCs w:val="20"/>
              </w:rPr>
              <w:t>10643</w:t>
            </w:r>
          </w:p>
        </w:tc>
        <w:tc>
          <w:tcPr>
            <w:tcW w:w="105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92,19</w:t>
            </w:r>
          </w:p>
        </w:tc>
      </w:tr>
    </w:tbl>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данных Таблицы 16 выявил динамику снижения учащихся в образовательных учреждениях района. В 2008- 2009 учебном году произошло уменьшение количества учащихся на 364 человека (темп роста 97,06 %) по сравнению с 2003- 2008 учебными годами. В 2009- 2010 учебном году количество учащихся сократилось на 660 человек (темп роста 92,19%) по сравнению с периодом 2008- 2009 г.г. Это обусловлено рядом социально-экономических факторов, характерных для развития многих регионов РФ, главным образом связанных с ухудшением демографической ситуацией.</w:t>
      </w:r>
    </w:p>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17 Численность учащихся дневных общеобразовательных школ, занимающихся в 2 смены в 2003- 2010 г.г, чел</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76"/>
        <w:gridCol w:w="1464"/>
        <w:gridCol w:w="1414"/>
        <w:gridCol w:w="1052"/>
        <w:gridCol w:w="1414"/>
        <w:gridCol w:w="1052"/>
      </w:tblGrid>
      <w:tr w:rsidR="00FE5AE9">
        <w:tc>
          <w:tcPr>
            <w:tcW w:w="2376"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464"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2003/2008 уч.г.</w:t>
            </w:r>
          </w:p>
        </w:tc>
        <w:tc>
          <w:tcPr>
            <w:tcW w:w="1414"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2008/2009 уч.г.</w:t>
            </w:r>
          </w:p>
        </w:tc>
        <w:tc>
          <w:tcPr>
            <w:tcW w:w="105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2009г к 2008г, %</w:t>
            </w:r>
          </w:p>
        </w:tc>
        <w:tc>
          <w:tcPr>
            <w:tcW w:w="1414"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2009/2010 уч.г.</w:t>
            </w:r>
          </w:p>
        </w:tc>
        <w:tc>
          <w:tcPr>
            <w:tcW w:w="105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2010г к 2008г, %</w:t>
            </w:r>
          </w:p>
        </w:tc>
      </w:tr>
      <w:tr w:rsidR="00FE5AE9">
        <w:tc>
          <w:tcPr>
            <w:tcW w:w="2376"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 области в целом</w:t>
            </w:r>
          </w:p>
        </w:tc>
        <w:tc>
          <w:tcPr>
            <w:tcW w:w="1464"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100486</w:t>
            </w:r>
          </w:p>
        </w:tc>
        <w:tc>
          <w:tcPr>
            <w:tcW w:w="1414"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87964</w:t>
            </w:r>
          </w:p>
        </w:tc>
        <w:tc>
          <w:tcPr>
            <w:tcW w:w="105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87,54</w:t>
            </w:r>
          </w:p>
        </w:tc>
        <w:tc>
          <w:tcPr>
            <w:tcW w:w="1414"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78842</w:t>
            </w:r>
          </w:p>
        </w:tc>
        <w:tc>
          <w:tcPr>
            <w:tcW w:w="105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78,46</w:t>
            </w:r>
          </w:p>
        </w:tc>
      </w:tr>
      <w:tr w:rsidR="00FE5AE9">
        <w:tc>
          <w:tcPr>
            <w:tcW w:w="2376"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по Чеховскому району</w:t>
            </w:r>
          </w:p>
        </w:tc>
        <w:tc>
          <w:tcPr>
            <w:tcW w:w="1464"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1730</w:t>
            </w:r>
          </w:p>
        </w:tc>
        <w:tc>
          <w:tcPr>
            <w:tcW w:w="1414"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1673</w:t>
            </w:r>
          </w:p>
        </w:tc>
        <w:tc>
          <w:tcPr>
            <w:tcW w:w="105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79,19</w:t>
            </w:r>
          </w:p>
        </w:tc>
        <w:tc>
          <w:tcPr>
            <w:tcW w:w="1414"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1611</w:t>
            </w:r>
          </w:p>
        </w:tc>
        <w:tc>
          <w:tcPr>
            <w:tcW w:w="105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69,48</w:t>
            </w:r>
          </w:p>
        </w:tc>
      </w:tr>
    </w:tbl>
    <w:p w:rsidR="00FE5AE9" w:rsidRDefault="00FE5AE9">
      <w:pPr>
        <w:widowControl w:val="0"/>
        <w:tabs>
          <w:tab w:val="left" w:pos="975"/>
        </w:tabs>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tabs>
          <w:tab w:val="left" w:pos="97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 только по району, но и по всей области существует проблема проведения занятий для учащихся в общеобразовательных школах в 2 смены. Для ее решения необходимо увеличивать количество школ. Анализ данных Таблицы 18 позволяет сделать вывод о том, что большинство учащихся Чеховского района обучаются в дневных общеобразовательных учреждениях района (в 2010 г. их численность составляла 1062 чел.).</w:t>
      </w:r>
    </w:p>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18 Выпуск учащихся дневными общеобразовательными школами в 2003- 2010 г.г, человек</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76"/>
        <w:gridCol w:w="1464"/>
        <w:gridCol w:w="1414"/>
        <w:gridCol w:w="1052"/>
        <w:gridCol w:w="1414"/>
        <w:gridCol w:w="1052"/>
      </w:tblGrid>
      <w:tr w:rsidR="00FE5AE9">
        <w:tc>
          <w:tcPr>
            <w:tcW w:w="2376"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Показатели2003/2008 уч.г.2008/2009 уч.г.2009г к 2008г, %2009/2010 уч.г.2010г к 2009г, %</w:t>
            </w:r>
          </w:p>
        </w:tc>
        <w:tc>
          <w:tcPr>
            <w:tcW w:w="1464" w:type="dxa"/>
            <w:tcBorders>
              <w:top w:val="single" w:sz="6" w:space="0" w:color="auto"/>
              <w:left w:val="single" w:sz="6" w:space="0" w:color="auto"/>
              <w:bottom w:val="single" w:sz="6" w:space="0" w:color="auto"/>
              <w:right w:val="single" w:sz="6" w:space="0" w:color="auto"/>
            </w:tcBorders>
          </w:tcPr>
          <w:p w:rsidR="00FE5AE9" w:rsidRDefault="00FE5AE9">
            <w:pPr>
              <w:widowControl w:val="0"/>
              <w:autoSpaceDE w:val="0"/>
              <w:autoSpaceDN w:val="0"/>
              <w:adjustRightInd w:val="0"/>
              <w:spacing w:after="0" w:line="240" w:lineRule="auto"/>
              <w:rPr>
                <w:rFonts w:ascii="Times New Roman CYR" w:hAnsi="Times New Roman CYR" w:cs="Times New Roman CYR"/>
                <w:sz w:val="20"/>
                <w:szCs w:val="20"/>
              </w:rPr>
            </w:pPr>
          </w:p>
        </w:tc>
        <w:tc>
          <w:tcPr>
            <w:tcW w:w="1414" w:type="dxa"/>
            <w:tcBorders>
              <w:top w:val="single" w:sz="6" w:space="0" w:color="auto"/>
              <w:left w:val="single" w:sz="6" w:space="0" w:color="auto"/>
              <w:bottom w:val="single" w:sz="6" w:space="0" w:color="auto"/>
              <w:right w:val="single" w:sz="6" w:space="0" w:color="auto"/>
            </w:tcBorders>
          </w:tcPr>
          <w:p w:rsidR="00FE5AE9" w:rsidRDefault="00FE5AE9">
            <w:pPr>
              <w:widowControl w:val="0"/>
              <w:autoSpaceDE w:val="0"/>
              <w:autoSpaceDN w:val="0"/>
              <w:adjustRightInd w:val="0"/>
              <w:spacing w:after="0" w:line="240" w:lineRule="auto"/>
              <w:rPr>
                <w:rFonts w:ascii="Times New Roman CYR" w:hAnsi="Times New Roman CYR" w:cs="Times New Roman CYR"/>
                <w:sz w:val="20"/>
                <w:szCs w:val="20"/>
              </w:rPr>
            </w:pPr>
          </w:p>
        </w:tc>
        <w:tc>
          <w:tcPr>
            <w:tcW w:w="1052" w:type="dxa"/>
            <w:tcBorders>
              <w:top w:val="single" w:sz="6" w:space="0" w:color="auto"/>
              <w:left w:val="single" w:sz="6" w:space="0" w:color="auto"/>
              <w:bottom w:val="single" w:sz="6" w:space="0" w:color="auto"/>
              <w:right w:val="single" w:sz="6" w:space="0" w:color="auto"/>
            </w:tcBorders>
          </w:tcPr>
          <w:p w:rsidR="00FE5AE9" w:rsidRDefault="00FE5AE9">
            <w:pPr>
              <w:widowControl w:val="0"/>
              <w:autoSpaceDE w:val="0"/>
              <w:autoSpaceDN w:val="0"/>
              <w:adjustRightInd w:val="0"/>
              <w:spacing w:after="0" w:line="240" w:lineRule="auto"/>
              <w:rPr>
                <w:rFonts w:ascii="Times New Roman CYR" w:hAnsi="Times New Roman CYR" w:cs="Times New Roman CYR"/>
                <w:sz w:val="20"/>
                <w:szCs w:val="20"/>
              </w:rPr>
            </w:pPr>
          </w:p>
        </w:tc>
        <w:tc>
          <w:tcPr>
            <w:tcW w:w="1414" w:type="dxa"/>
            <w:tcBorders>
              <w:top w:val="single" w:sz="6" w:space="0" w:color="auto"/>
              <w:left w:val="single" w:sz="6" w:space="0" w:color="auto"/>
              <w:bottom w:val="single" w:sz="6" w:space="0" w:color="auto"/>
              <w:right w:val="single" w:sz="6" w:space="0" w:color="auto"/>
            </w:tcBorders>
          </w:tcPr>
          <w:p w:rsidR="00FE5AE9" w:rsidRDefault="00FE5AE9">
            <w:pPr>
              <w:widowControl w:val="0"/>
              <w:autoSpaceDE w:val="0"/>
              <w:autoSpaceDN w:val="0"/>
              <w:adjustRightInd w:val="0"/>
              <w:spacing w:after="0" w:line="240" w:lineRule="auto"/>
              <w:rPr>
                <w:rFonts w:ascii="Times New Roman CYR" w:hAnsi="Times New Roman CYR" w:cs="Times New Roman CYR"/>
                <w:sz w:val="20"/>
                <w:szCs w:val="20"/>
              </w:rPr>
            </w:pPr>
          </w:p>
        </w:tc>
        <w:tc>
          <w:tcPr>
            <w:tcW w:w="1052" w:type="dxa"/>
            <w:tcBorders>
              <w:top w:val="single" w:sz="6" w:space="0" w:color="auto"/>
              <w:left w:val="single" w:sz="6" w:space="0" w:color="auto"/>
              <w:bottom w:val="single" w:sz="6" w:space="0" w:color="auto"/>
              <w:right w:val="single" w:sz="6" w:space="0" w:color="auto"/>
            </w:tcBorders>
          </w:tcPr>
          <w:p w:rsidR="00FE5AE9" w:rsidRDefault="00FE5AE9">
            <w:pPr>
              <w:widowControl w:val="0"/>
              <w:autoSpaceDE w:val="0"/>
              <w:autoSpaceDN w:val="0"/>
              <w:adjustRightInd w:val="0"/>
              <w:spacing w:after="0" w:line="240" w:lineRule="auto"/>
              <w:rPr>
                <w:rFonts w:ascii="Times New Roman CYR" w:hAnsi="Times New Roman CYR" w:cs="Times New Roman CYR"/>
                <w:sz w:val="20"/>
                <w:szCs w:val="20"/>
              </w:rPr>
            </w:pPr>
          </w:p>
        </w:tc>
      </w:tr>
      <w:tr w:rsidR="00FE5AE9">
        <w:tc>
          <w:tcPr>
            <w:tcW w:w="2376"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 области в целом</w:t>
            </w:r>
          </w:p>
        </w:tc>
        <w:tc>
          <w:tcPr>
            <w:tcW w:w="1464"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52393</w:t>
            </w:r>
          </w:p>
        </w:tc>
        <w:tc>
          <w:tcPr>
            <w:tcW w:w="1414"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55775</w:t>
            </w:r>
          </w:p>
        </w:tc>
        <w:tc>
          <w:tcPr>
            <w:tcW w:w="105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106,46</w:t>
            </w:r>
          </w:p>
        </w:tc>
        <w:tc>
          <w:tcPr>
            <w:tcW w:w="1414"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58256</w:t>
            </w:r>
          </w:p>
        </w:tc>
        <w:tc>
          <w:tcPr>
            <w:tcW w:w="105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111,19</w:t>
            </w:r>
          </w:p>
        </w:tc>
      </w:tr>
      <w:tr w:rsidR="00FE5AE9">
        <w:tc>
          <w:tcPr>
            <w:tcW w:w="2376"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 Чеховскому району</w:t>
            </w:r>
          </w:p>
        </w:tc>
        <w:tc>
          <w:tcPr>
            <w:tcW w:w="1464"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906</w:t>
            </w:r>
          </w:p>
        </w:tc>
        <w:tc>
          <w:tcPr>
            <w:tcW w:w="1414"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1017</w:t>
            </w:r>
          </w:p>
        </w:tc>
        <w:tc>
          <w:tcPr>
            <w:tcW w:w="105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103,11</w:t>
            </w:r>
          </w:p>
        </w:tc>
        <w:tc>
          <w:tcPr>
            <w:tcW w:w="1414"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1062</w:t>
            </w:r>
          </w:p>
        </w:tc>
        <w:tc>
          <w:tcPr>
            <w:tcW w:w="105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104,2</w:t>
            </w:r>
          </w:p>
        </w:tc>
      </w:tr>
    </w:tbl>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Сравнительный анализ данных Таблиц 18 и 19 позволяет сделать вывод о том, что большинство учащихся обучаются в дневных общеобразовательных учреждениях (в 2010 г. этот показатель составил 1062 человека против 295).</w:t>
      </w:r>
    </w:p>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19 Численность учащихся в вечерних сменных общеобразовательных школах, включая обучающихся заочно в 2003- 2010 г.г, чел.</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76"/>
        <w:gridCol w:w="1464"/>
        <w:gridCol w:w="1414"/>
        <w:gridCol w:w="1052"/>
        <w:gridCol w:w="1414"/>
        <w:gridCol w:w="1052"/>
      </w:tblGrid>
      <w:tr w:rsidR="00FE5AE9">
        <w:tc>
          <w:tcPr>
            <w:tcW w:w="2376"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Показатели2003/2008 уч.г.2008/2009 уч.г.2009г к 2008г, %2009/2010 уч.г.2010г к 2009г, %</w:t>
            </w:r>
          </w:p>
        </w:tc>
        <w:tc>
          <w:tcPr>
            <w:tcW w:w="1464" w:type="dxa"/>
            <w:tcBorders>
              <w:top w:val="single" w:sz="6" w:space="0" w:color="auto"/>
              <w:left w:val="single" w:sz="6" w:space="0" w:color="auto"/>
              <w:bottom w:val="single" w:sz="6" w:space="0" w:color="auto"/>
              <w:right w:val="single" w:sz="6" w:space="0" w:color="auto"/>
            </w:tcBorders>
          </w:tcPr>
          <w:p w:rsidR="00FE5AE9" w:rsidRDefault="00FE5AE9">
            <w:pPr>
              <w:widowControl w:val="0"/>
              <w:autoSpaceDE w:val="0"/>
              <w:autoSpaceDN w:val="0"/>
              <w:adjustRightInd w:val="0"/>
              <w:spacing w:after="0" w:line="240" w:lineRule="auto"/>
              <w:rPr>
                <w:rFonts w:ascii="Times New Roman CYR" w:hAnsi="Times New Roman CYR" w:cs="Times New Roman CYR"/>
                <w:sz w:val="20"/>
                <w:szCs w:val="20"/>
              </w:rPr>
            </w:pPr>
          </w:p>
        </w:tc>
        <w:tc>
          <w:tcPr>
            <w:tcW w:w="1414" w:type="dxa"/>
            <w:tcBorders>
              <w:top w:val="single" w:sz="6" w:space="0" w:color="auto"/>
              <w:left w:val="single" w:sz="6" w:space="0" w:color="auto"/>
              <w:bottom w:val="single" w:sz="6" w:space="0" w:color="auto"/>
              <w:right w:val="single" w:sz="6" w:space="0" w:color="auto"/>
            </w:tcBorders>
          </w:tcPr>
          <w:p w:rsidR="00FE5AE9" w:rsidRDefault="00FE5AE9">
            <w:pPr>
              <w:widowControl w:val="0"/>
              <w:autoSpaceDE w:val="0"/>
              <w:autoSpaceDN w:val="0"/>
              <w:adjustRightInd w:val="0"/>
              <w:spacing w:after="0" w:line="240" w:lineRule="auto"/>
              <w:rPr>
                <w:rFonts w:ascii="Times New Roman CYR" w:hAnsi="Times New Roman CYR" w:cs="Times New Roman CYR"/>
                <w:sz w:val="20"/>
                <w:szCs w:val="20"/>
              </w:rPr>
            </w:pPr>
          </w:p>
        </w:tc>
        <w:tc>
          <w:tcPr>
            <w:tcW w:w="1052" w:type="dxa"/>
            <w:tcBorders>
              <w:top w:val="single" w:sz="6" w:space="0" w:color="auto"/>
              <w:left w:val="single" w:sz="6" w:space="0" w:color="auto"/>
              <w:bottom w:val="single" w:sz="6" w:space="0" w:color="auto"/>
              <w:right w:val="single" w:sz="6" w:space="0" w:color="auto"/>
            </w:tcBorders>
          </w:tcPr>
          <w:p w:rsidR="00FE5AE9" w:rsidRDefault="00FE5AE9">
            <w:pPr>
              <w:widowControl w:val="0"/>
              <w:autoSpaceDE w:val="0"/>
              <w:autoSpaceDN w:val="0"/>
              <w:adjustRightInd w:val="0"/>
              <w:spacing w:after="0" w:line="240" w:lineRule="auto"/>
              <w:rPr>
                <w:rFonts w:ascii="Times New Roman CYR" w:hAnsi="Times New Roman CYR" w:cs="Times New Roman CYR"/>
                <w:sz w:val="20"/>
                <w:szCs w:val="20"/>
              </w:rPr>
            </w:pPr>
          </w:p>
        </w:tc>
        <w:tc>
          <w:tcPr>
            <w:tcW w:w="1414" w:type="dxa"/>
            <w:tcBorders>
              <w:top w:val="single" w:sz="6" w:space="0" w:color="auto"/>
              <w:left w:val="single" w:sz="6" w:space="0" w:color="auto"/>
              <w:bottom w:val="single" w:sz="6" w:space="0" w:color="auto"/>
              <w:right w:val="single" w:sz="6" w:space="0" w:color="auto"/>
            </w:tcBorders>
          </w:tcPr>
          <w:p w:rsidR="00FE5AE9" w:rsidRDefault="00FE5AE9">
            <w:pPr>
              <w:widowControl w:val="0"/>
              <w:autoSpaceDE w:val="0"/>
              <w:autoSpaceDN w:val="0"/>
              <w:adjustRightInd w:val="0"/>
              <w:spacing w:after="0" w:line="240" w:lineRule="auto"/>
              <w:rPr>
                <w:rFonts w:ascii="Times New Roman CYR" w:hAnsi="Times New Roman CYR" w:cs="Times New Roman CYR"/>
                <w:sz w:val="20"/>
                <w:szCs w:val="20"/>
              </w:rPr>
            </w:pPr>
          </w:p>
        </w:tc>
        <w:tc>
          <w:tcPr>
            <w:tcW w:w="1052" w:type="dxa"/>
            <w:tcBorders>
              <w:top w:val="single" w:sz="6" w:space="0" w:color="auto"/>
              <w:left w:val="single" w:sz="6" w:space="0" w:color="auto"/>
              <w:bottom w:val="single" w:sz="6" w:space="0" w:color="auto"/>
              <w:right w:val="single" w:sz="6" w:space="0" w:color="auto"/>
            </w:tcBorders>
          </w:tcPr>
          <w:p w:rsidR="00FE5AE9" w:rsidRDefault="00FE5AE9">
            <w:pPr>
              <w:widowControl w:val="0"/>
              <w:autoSpaceDE w:val="0"/>
              <w:autoSpaceDN w:val="0"/>
              <w:adjustRightInd w:val="0"/>
              <w:spacing w:after="0" w:line="240" w:lineRule="auto"/>
              <w:rPr>
                <w:rFonts w:ascii="Times New Roman CYR" w:hAnsi="Times New Roman CYR" w:cs="Times New Roman CYR"/>
                <w:sz w:val="20"/>
                <w:szCs w:val="20"/>
              </w:rPr>
            </w:pPr>
          </w:p>
        </w:tc>
      </w:tr>
      <w:tr w:rsidR="00FE5AE9">
        <w:tc>
          <w:tcPr>
            <w:tcW w:w="2376"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 области в целом</w:t>
            </w:r>
          </w:p>
        </w:tc>
        <w:tc>
          <w:tcPr>
            <w:tcW w:w="1464"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17072</w:t>
            </w:r>
          </w:p>
        </w:tc>
        <w:tc>
          <w:tcPr>
            <w:tcW w:w="1414"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16509</w:t>
            </w:r>
          </w:p>
        </w:tc>
        <w:tc>
          <w:tcPr>
            <w:tcW w:w="105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96,70</w:t>
            </w:r>
          </w:p>
        </w:tc>
        <w:tc>
          <w:tcPr>
            <w:tcW w:w="1414"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16012</w:t>
            </w:r>
          </w:p>
        </w:tc>
        <w:tc>
          <w:tcPr>
            <w:tcW w:w="105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93,79</w:t>
            </w:r>
          </w:p>
        </w:tc>
      </w:tr>
      <w:tr w:rsidR="00FE5AE9">
        <w:tc>
          <w:tcPr>
            <w:tcW w:w="2376"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 Чеховскому району</w:t>
            </w:r>
          </w:p>
        </w:tc>
        <w:tc>
          <w:tcPr>
            <w:tcW w:w="1464"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285</w:t>
            </w:r>
          </w:p>
        </w:tc>
        <w:tc>
          <w:tcPr>
            <w:tcW w:w="1414"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265</w:t>
            </w:r>
          </w:p>
        </w:tc>
        <w:tc>
          <w:tcPr>
            <w:tcW w:w="105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88,57</w:t>
            </w:r>
          </w:p>
        </w:tc>
        <w:tc>
          <w:tcPr>
            <w:tcW w:w="1414"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295</w:t>
            </w:r>
          </w:p>
        </w:tc>
        <w:tc>
          <w:tcPr>
            <w:tcW w:w="105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110,1</w:t>
            </w:r>
          </w:p>
        </w:tc>
      </w:tr>
    </w:tbl>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 последние годы произошли качественные изменения в содержании общего образования, введены в учебные планы школ предметы регионального и </w:t>
      </w:r>
      <w:r>
        <w:rPr>
          <w:rFonts w:ascii="Times New Roman CYR" w:hAnsi="Times New Roman CYR" w:cs="Times New Roman CYR"/>
          <w:sz w:val="28"/>
          <w:szCs w:val="28"/>
        </w:rPr>
        <w:lastRenderedPageBreak/>
        <w:t>школьного компонентов. Существенные изменения есть и в организации учебно-воспитательного процесса: разноуровневое обучение и воспитание, блочно-модульная система работы, личностно-ориентированный подход к обучающимся, организация классов с углубленным изучением предметов, классов, ориентированных на ВУЗ, классов военно-технического лицея.</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года в год ухудшается состояние здоровья школьников. Два года подряд главный педсовет года был посвящен актуальной проблеме "Сохранение здоровья. Формирование навыков здорового образа жизни" Вопросы сохранения здоровья, социальной защиты детей, охраны прав детства были в центре внимания отдела образования и решались во взаимодействии с семьей, школой, заинтересованными ведомствами. Проведенный на базе средней школы № 113 семинар директоров был полностью посвящен теме охраны здоровья школьников, он позволил ознакомить руководителей с положительным опытом работы школы с углубленным изучением предметов, где перегрузка учащихся компенсируется широким спектром дополнительных занятий по интересам (в том числе спортивной направленности), увлекательными формами работы на уроке, созданием благоприятного психологического климата, личностно -ориентированным отношением к обучающимся.</w:t>
      </w:r>
    </w:p>
    <w:p w:rsidR="00FE5AE9" w:rsidRDefault="00FE5A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20 Оценка степени удовлетворения физиологических потребностей учащихся при двухразовом питании (по данным НИИ питания РАМН и МГУПБТ в среднем по всем возрастным группам)</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51"/>
        <w:gridCol w:w="2036"/>
        <w:gridCol w:w="1260"/>
        <w:gridCol w:w="1043"/>
        <w:gridCol w:w="1241"/>
        <w:gridCol w:w="1437"/>
      </w:tblGrid>
      <w:tr w:rsidR="00FE5AE9">
        <w:tc>
          <w:tcPr>
            <w:tcW w:w="1951" w:type="dxa"/>
            <w:tcBorders>
              <w:top w:val="single" w:sz="6" w:space="0" w:color="auto"/>
              <w:left w:val="single" w:sz="6" w:space="0" w:color="auto"/>
              <w:bottom w:val="single" w:sz="6" w:space="0" w:color="auto"/>
              <w:right w:val="single" w:sz="6" w:space="0" w:color="auto"/>
            </w:tcBorders>
          </w:tcPr>
          <w:p w:rsidR="00FE5AE9" w:rsidRDefault="00FE5AE9">
            <w:pPr>
              <w:widowControl w:val="0"/>
              <w:autoSpaceDE w:val="0"/>
              <w:autoSpaceDN w:val="0"/>
              <w:adjustRightInd w:val="0"/>
              <w:spacing w:after="0" w:line="240" w:lineRule="auto"/>
              <w:rPr>
                <w:rFonts w:ascii="Times New Roman CYR" w:hAnsi="Times New Roman CYR" w:cs="Times New Roman CYR"/>
                <w:sz w:val="20"/>
                <w:szCs w:val="20"/>
              </w:rPr>
            </w:pPr>
          </w:p>
        </w:tc>
        <w:tc>
          <w:tcPr>
            <w:tcW w:w="2036"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Рекомендуемые размеры потребления в школе завтрак и обед)</w:t>
            </w:r>
          </w:p>
        </w:tc>
        <w:tc>
          <w:tcPr>
            <w:tcW w:w="2303" w:type="dxa"/>
            <w:gridSpan w:val="2"/>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 существующим рационам</w:t>
            </w:r>
          </w:p>
        </w:tc>
        <w:tc>
          <w:tcPr>
            <w:tcW w:w="2678" w:type="dxa"/>
            <w:gridSpan w:val="2"/>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 сбалансированным рационам (расчетный)</w:t>
            </w:r>
          </w:p>
        </w:tc>
      </w:tr>
      <w:tr w:rsidR="00FE5AE9">
        <w:tc>
          <w:tcPr>
            <w:tcW w:w="1951" w:type="dxa"/>
            <w:tcBorders>
              <w:top w:val="single" w:sz="6" w:space="0" w:color="auto"/>
              <w:left w:val="single" w:sz="6" w:space="0" w:color="auto"/>
              <w:bottom w:val="single" w:sz="6" w:space="0" w:color="auto"/>
              <w:right w:val="single" w:sz="6" w:space="0" w:color="auto"/>
            </w:tcBorders>
          </w:tcPr>
          <w:p w:rsidR="00FE5AE9" w:rsidRDefault="00FE5AE9">
            <w:pPr>
              <w:widowControl w:val="0"/>
              <w:autoSpaceDE w:val="0"/>
              <w:autoSpaceDN w:val="0"/>
              <w:adjustRightInd w:val="0"/>
              <w:spacing w:after="0" w:line="240" w:lineRule="auto"/>
              <w:rPr>
                <w:rFonts w:ascii="Times New Roman CYR" w:hAnsi="Times New Roman CYR" w:cs="Times New Roman CYR"/>
                <w:sz w:val="20"/>
                <w:szCs w:val="20"/>
              </w:rPr>
            </w:pPr>
          </w:p>
        </w:tc>
        <w:tc>
          <w:tcPr>
            <w:tcW w:w="2036" w:type="dxa"/>
            <w:tcBorders>
              <w:top w:val="single" w:sz="6" w:space="0" w:color="auto"/>
              <w:left w:val="single" w:sz="6" w:space="0" w:color="auto"/>
              <w:bottom w:val="single" w:sz="6" w:space="0" w:color="auto"/>
              <w:right w:val="single" w:sz="6" w:space="0" w:color="auto"/>
            </w:tcBorders>
          </w:tcPr>
          <w:p w:rsidR="00FE5AE9" w:rsidRDefault="00FE5AE9">
            <w:pPr>
              <w:widowControl w:val="0"/>
              <w:autoSpaceDE w:val="0"/>
              <w:autoSpaceDN w:val="0"/>
              <w:adjustRightInd w:val="0"/>
              <w:spacing w:after="0" w:line="240" w:lineRule="auto"/>
              <w:rPr>
                <w:rFonts w:ascii="Times New Roman CYR" w:hAnsi="Times New Roman CYR" w:cs="Times New Roman CYR"/>
                <w:sz w:val="20"/>
                <w:szCs w:val="20"/>
              </w:rPr>
            </w:pPr>
          </w:p>
        </w:tc>
        <w:tc>
          <w:tcPr>
            <w:tcW w:w="126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Факт</w:t>
            </w:r>
          </w:p>
        </w:tc>
        <w:tc>
          <w:tcPr>
            <w:tcW w:w="1043"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241"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Факт</w:t>
            </w:r>
          </w:p>
        </w:tc>
        <w:tc>
          <w:tcPr>
            <w:tcW w:w="1437"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FE5AE9">
        <w:tc>
          <w:tcPr>
            <w:tcW w:w="1951"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Энергия, ккал</w:t>
            </w:r>
          </w:p>
        </w:tc>
        <w:tc>
          <w:tcPr>
            <w:tcW w:w="2036"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1471</w:t>
            </w:r>
          </w:p>
        </w:tc>
        <w:tc>
          <w:tcPr>
            <w:tcW w:w="126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1091</w:t>
            </w:r>
          </w:p>
        </w:tc>
        <w:tc>
          <w:tcPr>
            <w:tcW w:w="1043"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74</w:t>
            </w:r>
          </w:p>
        </w:tc>
        <w:tc>
          <w:tcPr>
            <w:tcW w:w="1241"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1464</w:t>
            </w:r>
          </w:p>
        </w:tc>
        <w:tc>
          <w:tcPr>
            <w:tcW w:w="1437"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r>
      <w:tr w:rsidR="00FE5AE9">
        <w:tc>
          <w:tcPr>
            <w:tcW w:w="1951"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Белок, г</w:t>
            </w:r>
          </w:p>
        </w:tc>
        <w:tc>
          <w:tcPr>
            <w:tcW w:w="2036"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w:t>
            </w:r>
          </w:p>
        </w:tc>
        <w:tc>
          <w:tcPr>
            <w:tcW w:w="126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39,7</w:t>
            </w:r>
          </w:p>
        </w:tc>
        <w:tc>
          <w:tcPr>
            <w:tcW w:w="1043"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w:t>
            </w:r>
          </w:p>
        </w:tc>
        <w:tc>
          <w:tcPr>
            <w:tcW w:w="1241"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w:t>
            </w:r>
          </w:p>
        </w:tc>
        <w:tc>
          <w:tcPr>
            <w:tcW w:w="1437"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r>
      <w:tr w:rsidR="00FE5AE9">
        <w:tc>
          <w:tcPr>
            <w:tcW w:w="1951"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Жир, г</w:t>
            </w:r>
          </w:p>
        </w:tc>
        <w:tc>
          <w:tcPr>
            <w:tcW w:w="2036"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w:t>
            </w:r>
          </w:p>
        </w:tc>
        <w:tc>
          <w:tcPr>
            <w:tcW w:w="126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33,7</w:t>
            </w:r>
          </w:p>
        </w:tc>
        <w:tc>
          <w:tcPr>
            <w:tcW w:w="1043"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w:t>
            </w:r>
          </w:p>
        </w:tc>
        <w:tc>
          <w:tcPr>
            <w:tcW w:w="1241"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w:t>
            </w:r>
          </w:p>
        </w:tc>
        <w:tc>
          <w:tcPr>
            <w:tcW w:w="1437"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r>
      <w:tr w:rsidR="00FE5AE9">
        <w:tc>
          <w:tcPr>
            <w:tcW w:w="1951"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Углеводы, г</w:t>
            </w:r>
          </w:p>
        </w:tc>
        <w:tc>
          <w:tcPr>
            <w:tcW w:w="2036"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209</w:t>
            </w:r>
          </w:p>
        </w:tc>
        <w:tc>
          <w:tcPr>
            <w:tcW w:w="126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157</w:t>
            </w:r>
          </w:p>
        </w:tc>
        <w:tc>
          <w:tcPr>
            <w:tcW w:w="1043"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w:t>
            </w:r>
          </w:p>
        </w:tc>
        <w:tc>
          <w:tcPr>
            <w:tcW w:w="1241"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205</w:t>
            </w:r>
          </w:p>
        </w:tc>
        <w:tc>
          <w:tcPr>
            <w:tcW w:w="1437"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w:t>
            </w:r>
          </w:p>
        </w:tc>
      </w:tr>
      <w:tr w:rsidR="00FE5AE9">
        <w:tc>
          <w:tcPr>
            <w:tcW w:w="1951"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Витамин С, мг</w:t>
            </w:r>
          </w:p>
        </w:tc>
        <w:tc>
          <w:tcPr>
            <w:tcW w:w="2036"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35,8</w:t>
            </w:r>
          </w:p>
        </w:tc>
        <w:tc>
          <w:tcPr>
            <w:tcW w:w="126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20,3</w:t>
            </w:r>
          </w:p>
        </w:tc>
        <w:tc>
          <w:tcPr>
            <w:tcW w:w="1043"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w:t>
            </w:r>
          </w:p>
        </w:tc>
        <w:tc>
          <w:tcPr>
            <w:tcW w:w="1241"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37,2</w:t>
            </w:r>
          </w:p>
        </w:tc>
        <w:tc>
          <w:tcPr>
            <w:tcW w:w="1437"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104</w:t>
            </w:r>
          </w:p>
        </w:tc>
      </w:tr>
      <w:tr w:rsidR="00FE5AE9">
        <w:tc>
          <w:tcPr>
            <w:tcW w:w="1951"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Кальций, мг</w:t>
            </w:r>
          </w:p>
        </w:tc>
        <w:tc>
          <w:tcPr>
            <w:tcW w:w="2036"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632</w:t>
            </w:r>
          </w:p>
        </w:tc>
        <w:tc>
          <w:tcPr>
            <w:tcW w:w="126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275</w:t>
            </w:r>
          </w:p>
        </w:tc>
        <w:tc>
          <w:tcPr>
            <w:tcW w:w="1043"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w:t>
            </w:r>
          </w:p>
        </w:tc>
        <w:tc>
          <w:tcPr>
            <w:tcW w:w="1241"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437</w:t>
            </w:r>
          </w:p>
        </w:tc>
        <w:tc>
          <w:tcPr>
            <w:tcW w:w="1437"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w:t>
            </w:r>
          </w:p>
        </w:tc>
      </w:tr>
      <w:tr w:rsidR="00FE5AE9">
        <w:tc>
          <w:tcPr>
            <w:tcW w:w="1951"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Магний, мг</w:t>
            </w:r>
          </w:p>
        </w:tc>
        <w:tc>
          <w:tcPr>
            <w:tcW w:w="2036"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151</w:t>
            </w:r>
          </w:p>
        </w:tc>
        <w:tc>
          <w:tcPr>
            <w:tcW w:w="126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175</w:t>
            </w:r>
          </w:p>
        </w:tc>
        <w:tc>
          <w:tcPr>
            <w:tcW w:w="1043"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116</w:t>
            </w:r>
          </w:p>
        </w:tc>
        <w:tc>
          <w:tcPr>
            <w:tcW w:w="1241"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154</w:t>
            </w:r>
          </w:p>
        </w:tc>
        <w:tc>
          <w:tcPr>
            <w:tcW w:w="1437"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w:t>
            </w:r>
          </w:p>
        </w:tc>
      </w:tr>
      <w:tr w:rsidR="00FE5AE9">
        <w:tc>
          <w:tcPr>
            <w:tcW w:w="1951"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Железо, мг</w:t>
            </w:r>
          </w:p>
        </w:tc>
        <w:tc>
          <w:tcPr>
            <w:tcW w:w="2036"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w:t>
            </w:r>
          </w:p>
        </w:tc>
        <w:tc>
          <w:tcPr>
            <w:tcW w:w="126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w:t>
            </w:r>
          </w:p>
        </w:tc>
        <w:tc>
          <w:tcPr>
            <w:tcW w:w="1043"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108</w:t>
            </w:r>
          </w:p>
        </w:tc>
        <w:tc>
          <w:tcPr>
            <w:tcW w:w="1241"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8,6</w:t>
            </w:r>
          </w:p>
        </w:tc>
        <w:tc>
          <w:tcPr>
            <w:tcW w:w="1437"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104</w:t>
            </w:r>
          </w:p>
        </w:tc>
      </w:tr>
      <w:tr w:rsidR="00FE5AE9">
        <w:tc>
          <w:tcPr>
            <w:tcW w:w="1951"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Витамин А, мг</w:t>
            </w:r>
          </w:p>
        </w:tc>
        <w:tc>
          <w:tcPr>
            <w:tcW w:w="2036"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0,47</w:t>
            </w:r>
          </w:p>
        </w:tc>
        <w:tc>
          <w:tcPr>
            <w:tcW w:w="126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w:t>
            </w:r>
          </w:p>
        </w:tc>
        <w:tc>
          <w:tcPr>
            <w:tcW w:w="1043"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128</w:t>
            </w:r>
          </w:p>
        </w:tc>
        <w:tc>
          <w:tcPr>
            <w:tcW w:w="1241"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0,48</w:t>
            </w:r>
          </w:p>
        </w:tc>
        <w:tc>
          <w:tcPr>
            <w:tcW w:w="1437"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w:t>
            </w:r>
          </w:p>
        </w:tc>
      </w:tr>
      <w:tr w:rsidR="00FE5AE9">
        <w:tc>
          <w:tcPr>
            <w:tcW w:w="1951"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Витамин В1, мг</w:t>
            </w:r>
          </w:p>
        </w:tc>
        <w:tc>
          <w:tcPr>
            <w:tcW w:w="2036"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0,74</w:t>
            </w:r>
          </w:p>
        </w:tc>
        <w:tc>
          <w:tcPr>
            <w:tcW w:w="126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0,59</w:t>
            </w:r>
          </w:p>
        </w:tc>
        <w:tc>
          <w:tcPr>
            <w:tcW w:w="1043"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w:t>
            </w:r>
          </w:p>
        </w:tc>
        <w:tc>
          <w:tcPr>
            <w:tcW w:w="1241"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0,76</w:t>
            </w:r>
          </w:p>
        </w:tc>
        <w:tc>
          <w:tcPr>
            <w:tcW w:w="1437"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104</w:t>
            </w:r>
          </w:p>
        </w:tc>
      </w:tr>
      <w:tr w:rsidR="00FE5AE9">
        <w:tc>
          <w:tcPr>
            <w:tcW w:w="1951"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Витамин В2, мг</w:t>
            </w:r>
          </w:p>
        </w:tc>
        <w:tc>
          <w:tcPr>
            <w:tcW w:w="2036"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0,88</w:t>
            </w:r>
          </w:p>
        </w:tc>
        <w:tc>
          <w:tcPr>
            <w:tcW w:w="126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0,65</w:t>
            </w:r>
          </w:p>
        </w:tc>
        <w:tc>
          <w:tcPr>
            <w:tcW w:w="1043"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74</w:t>
            </w:r>
          </w:p>
        </w:tc>
        <w:tc>
          <w:tcPr>
            <w:tcW w:w="1241"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w:t>
            </w:r>
          </w:p>
        </w:tc>
        <w:tc>
          <w:tcPr>
            <w:tcW w:w="1437"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w:t>
            </w:r>
          </w:p>
        </w:tc>
      </w:tr>
      <w:tr w:rsidR="00FE5AE9">
        <w:tc>
          <w:tcPr>
            <w:tcW w:w="1951"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Витамин PP1, мг</w:t>
            </w:r>
          </w:p>
        </w:tc>
        <w:tc>
          <w:tcPr>
            <w:tcW w:w="2036"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9,63</w:t>
            </w:r>
          </w:p>
        </w:tc>
        <w:tc>
          <w:tcPr>
            <w:tcW w:w="126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8,6</w:t>
            </w:r>
          </w:p>
        </w:tc>
        <w:tc>
          <w:tcPr>
            <w:tcW w:w="1043"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89</w:t>
            </w:r>
          </w:p>
        </w:tc>
        <w:tc>
          <w:tcPr>
            <w:tcW w:w="1241"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9,82</w:t>
            </w:r>
          </w:p>
        </w:tc>
        <w:tc>
          <w:tcPr>
            <w:tcW w:w="1437"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w:t>
            </w:r>
          </w:p>
        </w:tc>
      </w:tr>
      <w:tr w:rsidR="00FE5AE9">
        <w:tc>
          <w:tcPr>
            <w:tcW w:w="5247" w:type="dxa"/>
            <w:gridSpan w:val="3"/>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Расчетная стоимость рациона в среднем на 1 чел. в день</w:t>
            </w:r>
          </w:p>
        </w:tc>
        <w:tc>
          <w:tcPr>
            <w:tcW w:w="1043"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 руб</w:t>
            </w:r>
          </w:p>
        </w:tc>
        <w:tc>
          <w:tcPr>
            <w:tcW w:w="1241" w:type="dxa"/>
            <w:tcBorders>
              <w:top w:val="single" w:sz="6" w:space="0" w:color="auto"/>
              <w:left w:val="single" w:sz="6" w:space="0" w:color="auto"/>
              <w:bottom w:val="single" w:sz="6" w:space="0" w:color="auto"/>
              <w:right w:val="single" w:sz="6" w:space="0" w:color="auto"/>
            </w:tcBorders>
          </w:tcPr>
          <w:p w:rsidR="00FE5AE9" w:rsidRDefault="00FE5AE9">
            <w:pPr>
              <w:widowControl w:val="0"/>
              <w:autoSpaceDE w:val="0"/>
              <w:autoSpaceDN w:val="0"/>
              <w:adjustRightInd w:val="0"/>
              <w:spacing w:after="0" w:line="240" w:lineRule="auto"/>
              <w:rPr>
                <w:rFonts w:ascii="Times New Roman CYR" w:hAnsi="Times New Roman CYR" w:cs="Times New Roman CYR"/>
                <w:sz w:val="20"/>
                <w:szCs w:val="20"/>
              </w:rPr>
            </w:pPr>
          </w:p>
        </w:tc>
        <w:tc>
          <w:tcPr>
            <w:tcW w:w="1437"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 руб.</w:t>
            </w:r>
          </w:p>
        </w:tc>
      </w:tr>
      <w:tr w:rsidR="00FE5AE9">
        <w:tc>
          <w:tcPr>
            <w:tcW w:w="5247" w:type="dxa"/>
            <w:gridSpan w:val="3"/>
            <w:tcBorders>
              <w:top w:val="single" w:sz="6" w:space="0" w:color="auto"/>
              <w:left w:val="single" w:sz="6" w:space="0" w:color="auto"/>
              <w:bottom w:val="single" w:sz="6" w:space="0" w:color="auto"/>
              <w:right w:val="single" w:sz="6" w:space="0" w:color="auto"/>
            </w:tcBorders>
          </w:tcPr>
          <w:p w:rsidR="00FE5AE9" w:rsidRDefault="00FE5AE9">
            <w:pPr>
              <w:widowControl w:val="0"/>
              <w:autoSpaceDE w:val="0"/>
              <w:autoSpaceDN w:val="0"/>
              <w:adjustRightInd w:val="0"/>
              <w:spacing w:after="0" w:line="240" w:lineRule="auto"/>
              <w:rPr>
                <w:rFonts w:ascii="Times New Roman CYR" w:hAnsi="Times New Roman CYR" w:cs="Times New Roman CYR"/>
                <w:sz w:val="20"/>
                <w:szCs w:val="20"/>
              </w:rPr>
            </w:pPr>
          </w:p>
        </w:tc>
        <w:tc>
          <w:tcPr>
            <w:tcW w:w="1043" w:type="dxa"/>
            <w:tcBorders>
              <w:top w:val="single" w:sz="6" w:space="0" w:color="auto"/>
              <w:left w:val="single" w:sz="6" w:space="0" w:color="auto"/>
              <w:bottom w:val="single" w:sz="6" w:space="0" w:color="auto"/>
              <w:right w:val="single" w:sz="6" w:space="0" w:color="auto"/>
            </w:tcBorders>
          </w:tcPr>
          <w:p w:rsidR="00FE5AE9" w:rsidRDefault="00FE5AE9">
            <w:pPr>
              <w:widowControl w:val="0"/>
              <w:autoSpaceDE w:val="0"/>
              <w:autoSpaceDN w:val="0"/>
              <w:adjustRightInd w:val="0"/>
              <w:spacing w:after="0" w:line="240" w:lineRule="auto"/>
              <w:rPr>
                <w:rFonts w:ascii="Times New Roman CYR" w:hAnsi="Times New Roman CYR" w:cs="Times New Roman CYR"/>
                <w:sz w:val="20"/>
                <w:szCs w:val="20"/>
              </w:rPr>
            </w:pPr>
          </w:p>
        </w:tc>
        <w:tc>
          <w:tcPr>
            <w:tcW w:w="1241" w:type="dxa"/>
            <w:tcBorders>
              <w:top w:val="single" w:sz="6" w:space="0" w:color="auto"/>
              <w:left w:val="single" w:sz="6" w:space="0" w:color="auto"/>
              <w:bottom w:val="single" w:sz="6" w:space="0" w:color="auto"/>
              <w:right w:val="single" w:sz="6" w:space="0" w:color="auto"/>
            </w:tcBorders>
          </w:tcPr>
          <w:p w:rsidR="00FE5AE9" w:rsidRDefault="00FE5AE9">
            <w:pPr>
              <w:widowControl w:val="0"/>
              <w:autoSpaceDE w:val="0"/>
              <w:autoSpaceDN w:val="0"/>
              <w:adjustRightInd w:val="0"/>
              <w:spacing w:after="0" w:line="240" w:lineRule="auto"/>
              <w:rPr>
                <w:rFonts w:ascii="Times New Roman CYR" w:hAnsi="Times New Roman CYR" w:cs="Times New Roman CYR"/>
                <w:sz w:val="20"/>
                <w:szCs w:val="20"/>
              </w:rPr>
            </w:pPr>
          </w:p>
        </w:tc>
        <w:tc>
          <w:tcPr>
            <w:tcW w:w="1437" w:type="dxa"/>
            <w:tcBorders>
              <w:top w:val="single" w:sz="6" w:space="0" w:color="auto"/>
              <w:left w:val="single" w:sz="6" w:space="0" w:color="auto"/>
              <w:bottom w:val="single" w:sz="6" w:space="0" w:color="auto"/>
              <w:right w:val="single" w:sz="6" w:space="0" w:color="auto"/>
            </w:tcBorders>
          </w:tcPr>
          <w:p w:rsidR="00FE5AE9" w:rsidRDefault="00FE5AE9">
            <w:pPr>
              <w:widowControl w:val="0"/>
              <w:autoSpaceDE w:val="0"/>
              <w:autoSpaceDN w:val="0"/>
              <w:adjustRightInd w:val="0"/>
              <w:spacing w:after="0" w:line="240" w:lineRule="auto"/>
              <w:rPr>
                <w:rFonts w:ascii="Times New Roman CYR" w:hAnsi="Times New Roman CYR" w:cs="Times New Roman CYR"/>
                <w:sz w:val="20"/>
                <w:szCs w:val="20"/>
              </w:rPr>
            </w:pPr>
          </w:p>
        </w:tc>
      </w:tr>
    </w:tbl>
    <w:p w:rsidR="00FE5AE9" w:rsidRDefault="00FE5A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результатах исследований НИИ питания РАМН и МГУПБ по сбалансированным рационам питания учащихся, которые носят расчетный характер и позволяют оценить ориентировочную стоимость приемлемого рациона при сложившемся уровне цен на продукцию школьного питания.</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Расчетная стоимость сбалансированного рациона двухразового питания (32 руб. на 1 чел. в день) подтверждается при пересчете стоимости рациона питания в 2010 г. (рацион был сбалансирован по энергии) в ценах января 2007 г. с использованием официальных индексов цен на продовольственные товары: 11 * 1,451 * 2,220 = 35,4 руб.</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приказом МЗ и МО РФ № 186\272 от 30.06.92 г. "О совершенствовании медицинского обеспечения детей в ОУ" проведено в 1, 5, 9 классах анкетирование, скрининг- тестирование 4513 человек. В результате выявлено отклонение в здоровье у 25,1% детей, из них нарушение осанки - 7,2%, зрения - 3,4 %. Среди учащихся школ по состоянию здоровья к основной группе относятся 79,3%, к подготовительной - 13,6 %, к специальной мед. группе -7,1 % детей. Самые большие диспансерные группы: по заболеванию глаз - 22,1%, нервной системы - 17,5%, органов пищеварения -11,8%, органов мочевыделения - 9,6%, опорно-двигательного аппарата - 6,7%.</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Причинами ухудшения здоровья школьников являются: перегрузка, развитие в учебном процессе памяти, а не мышления,авторитарный стиль деятельности многих педагогов, родителей, неполноценное питание как в школе, так и дома, малая двигательная активность, неспособность противостоять </w:t>
      </w:r>
      <w:r>
        <w:rPr>
          <w:rFonts w:ascii="Times New Roman CYR" w:hAnsi="Times New Roman CYR" w:cs="Times New Roman CYR"/>
          <w:sz w:val="28"/>
          <w:szCs w:val="28"/>
        </w:rPr>
        <w:lastRenderedPageBreak/>
        <w:t>дурным привычкам.</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 всех образовательных учреждениях медицинские кабинеты укомплектованы кадрами врачей, однако в сш. 14, 30, 54, 113 работают совместители. В сш. № 54 и 14 нет медсестер, что неблагоприятно влияет на качество медицинского обеспечения. В школах работают 18 оплачиваемых спецмедгрупп с охватом 283 учащихся, что явно недостаточно. Работают 50 классов компенсирующего обучения для ослабленных и больных детей (628чел),один класс для детей с задержкой психического развития (на базе сш 70). Для нуждающихся детей работают 25 групп продленного дня (605 детей).</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Вопросы горячего питания отдел образования решает совместно с Центром школьного питания на базе комбината питания ст. Чехов -1 ПЖД. Дотационным питанием из расчета 1,5 руб. охвачены 100% детей-сирот, опекаемых, инвалидов, детей из семей чернобыльцев и многодетных семей (2049), в группах продленного дня дети данных категорий питались бесплатно из расчета 6 руб. (243 чел). За счет родителей питаются 5900 ребенка. Общий охват питанием составляет лишь 60% школьников.</w:t>
      </w:r>
      <w:r>
        <w:rPr>
          <w:rFonts w:ascii="Times New Roman CYR" w:hAnsi="Times New Roman CYR" w:cs="Times New Roman CYR"/>
          <w:sz w:val="28"/>
          <w:szCs w:val="28"/>
        </w:rPr>
        <w:br/>
        <w:t>В 2009\2010 учебном году 120 школьников находились на домашнем обучении, за 1 полугодие 2010\2011 учебного года таких детей насчитывается 102. 68 выпускников прошлого года сдавали выпускные экзамены в щадящем режиме.</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 устранен разрыв системы обучения и воспитания, недостаточна роль в воспитании подрастающего поколения детских и юношеских общественных организаций. Содержание образования всех уровней не в полной мере создает духовную опору, формирует гражданственность и подлинные жизненные ценности, ориентирует молодежь на здоровый образ жизни. Все это ведет к проблеме дезадаптации детей и подростков, росту безнадзорности и преступности в их среде, несмотря на показатели снижения уровня преступлений и правонарушений среди подростков по району в 2000 году. Анализ уровня </w:t>
      </w:r>
      <w:r>
        <w:rPr>
          <w:rFonts w:ascii="Times New Roman CYR" w:hAnsi="Times New Roman CYR" w:cs="Times New Roman CYR"/>
          <w:sz w:val="28"/>
          <w:szCs w:val="28"/>
        </w:rPr>
        <w:lastRenderedPageBreak/>
        <w:t>воспитанности свидетельствует о формальном подходе к работе классного руководителя многих учителей, невысоком уровне воспитанности детей, что объясняется социальной напряженностью и нестабильностью в обществе, разрушением старых идеалов, уходом семьи от системного воспитания по формированию нравственного и культурного уровня.</w:t>
      </w:r>
    </w:p>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2.4.3 Предпрофильная и профильная подготовка учащихся</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системе общего образования одной из главных задач является обновление структуры и содержание образования в соответствии с запросами и возможностями учащихся. С этой целью в программе развития муниципальной системе образования большое значение уделяется расширению сети предпрофильной подготовки и профильного обучения.</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Чеховском районе в настоящее время действуют Чеховский филиал Московского технологического колледжа, Чеховский Государственный профессиональный лицей № 56, Чеховское профессиональное училище № 32, Мещерское медицинское училище, Чеховский механико-технологический техникум молочной промышленности (табл.22).</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представленных училищах и лицеях проводят обучение по специальностям:</w:t>
      </w:r>
    </w:p>
    <w:p w:rsidR="00FE5AE9" w:rsidRDefault="00920100">
      <w:pPr>
        <w:widowControl w:val="0"/>
        <w:tabs>
          <w:tab w:val="left" w:pos="720"/>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автомеханик;</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электромонтер по ремонту электрооборудования;</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слесарь ремонтник;</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резчик по дереву изготовитель художественных изделий из дерева;</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электрогазосварщик;</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станочник широкого профиля;</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повар, кондитер</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lastRenderedPageBreak/>
        <w:t></w:t>
      </w:r>
      <w:r>
        <w:rPr>
          <w:rFonts w:ascii="Symbol" w:hAnsi="Symbol" w:cs="Symbol"/>
          <w:sz w:val="28"/>
          <w:szCs w:val="28"/>
        </w:rPr>
        <w:tab/>
      </w:r>
      <w:r>
        <w:rPr>
          <w:rFonts w:ascii="Times New Roman CYR" w:hAnsi="Times New Roman CYR" w:cs="Times New Roman CYR"/>
          <w:sz w:val="28"/>
          <w:szCs w:val="28"/>
        </w:rPr>
        <w:t>и т.д.</w:t>
      </w:r>
    </w:p>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 Численность учащихся средних специальных учебных заведений на начало учебного года, в 2003- 2010 г.г.,чел.</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35"/>
        <w:gridCol w:w="1728"/>
        <w:gridCol w:w="1728"/>
        <w:gridCol w:w="1001"/>
        <w:gridCol w:w="1365"/>
        <w:gridCol w:w="1001"/>
      </w:tblGrid>
      <w:tr w:rsidR="00FE5AE9">
        <w:tc>
          <w:tcPr>
            <w:tcW w:w="2235"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728"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2003/2008уч.г.</w:t>
            </w:r>
          </w:p>
        </w:tc>
        <w:tc>
          <w:tcPr>
            <w:tcW w:w="1728"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2008/2009уч.г.</w:t>
            </w:r>
          </w:p>
        </w:tc>
        <w:tc>
          <w:tcPr>
            <w:tcW w:w="1001"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2009г к 2008г, %</w:t>
            </w:r>
          </w:p>
        </w:tc>
        <w:tc>
          <w:tcPr>
            <w:tcW w:w="1365"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2009/2010 уч.г.</w:t>
            </w:r>
          </w:p>
        </w:tc>
        <w:tc>
          <w:tcPr>
            <w:tcW w:w="1001"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2010г к 2009г, %</w:t>
            </w:r>
          </w:p>
        </w:tc>
      </w:tr>
      <w:tr w:rsidR="00FE5AE9">
        <w:tc>
          <w:tcPr>
            <w:tcW w:w="2235"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 области в целом</w:t>
            </w:r>
          </w:p>
        </w:tc>
        <w:tc>
          <w:tcPr>
            <w:tcW w:w="1728"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77309</w:t>
            </w:r>
          </w:p>
        </w:tc>
        <w:tc>
          <w:tcPr>
            <w:tcW w:w="1728"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76084</w:t>
            </w:r>
          </w:p>
        </w:tc>
        <w:tc>
          <w:tcPr>
            <w:tcW w:w="1001"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98,4</w:t>
            </w:r>
          </w:p>
        </w:tc>
        <w:tc>
          <w:tcPr>
            <w:tcW w:w="1365"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75373</w:t>
            </w:r>
          </w:p>
        </w:tc>
        <w:tc>
          <w:tcPr>
            <w:tcW w:w="1001"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w:t>
            </w:r>
          </w:p>
        </w:tc>
      </w:tr>
      <w:tr w:rsidR="00FE5AE9">
        <w:tc>
          <w:tcPr>
            <w:tcW w:w="2235"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 Чеховскому району</w:t>
            </w:r>
          </w:p>
        </w:tc>
        <w:tc>
          <w:tcPr>
            <w:tcW w:w="1728"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980</w:t>
            </w:r>
          </w:p>
        </w:tc>
        <w:tc>
          <w:tcPr>
            <w:tcW w:w="1728"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953</w:t>
            </w:r>
          </w:p>
        </w:tc>
        <w:tc>
          <w:tcPr>
            <w:tcW w:w="1001"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97,2</w:t>
            </w:r>
          </w:p>
        </w:tc>
        <w:tc>
          <w:tcPr>
            <w:tcW w:w="1365"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905</w:t>
            </w:r>
          </w:p>
        </w:tc>
        <w:tc>
          <w:tcPr>
            <w:tcW w:w="1001"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w:t>
            </w:r>
          </w:p>
        </w:tc>
      </w:tr>
    </w:tbl>
    <w:p w:rsidR="00FE5AE9" w:rsidRDefault="00FE5AE9">
      <w:pPr>
        <w:widowControl w:val="0"/>
        <w:tabs>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tabs>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данных Таблицы 21 позволяет сделать вывод о том, что уменьшается количество учащихся средне- специальных учебных заведений в связи с тем, что наибольшую востребованность в настоящее время получает высшее образование. В Таблице 21 представлена схожая динамика по Московской области и Чеховскому району. Так, в 2009 г. динамика показывала 97,2% против динамики 2010 г., равной 95%. В настоящее время на рынке высших образовательных учреждений Чеховского района существует 8 филиалов и представительств высших учебных заведений. Основные данные приведены в следующей таблице (табл.22).</w:t>
      </w:r>
    </w:p>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22 Высшие учебные учреждения Чеховского района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4"/>
        <w:gridCol w:w="2370"/>
        <w:gridCol w:w="2700"/>
        <w:gridCol w:w="1080"/>
        <w:gridCol w:w="1080"/>
        <w:gridCol w:w="1440"/>
      </w:tblGrid>
      <w:tr w:rsidR="00FE5AE9">
        <w:tc>
          <w:tcPr>
            <w:tcW w:w="534"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№пп</w:t>
            </w:r>
          </w:p>
        </w:tc>
        <w:tc>
          <w:tcPr>
            <w:tcW w:w="237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Название ВУЗа</w:t>
            </w:r>
          </w:p>
        </w:tc>
        <w:tc>
          <w:tcPr>
            <w:tcW w:w="270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Специальности</w:t>
            </w:r>
          </w:p>
        </w:tc>
        <w:tc>
          <w:tcPr>
            <w:tcW w:w="108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Форма обучения</w:t>
            </w:r>
          </w:p>
        </w:tc>
        <w:tc>
          <w:tcPr>
            <w:tcW w:w="108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Сроки обучения</w:t>
            </w:r>
          </w:p>
        </w:tc>
        <w:tc>
          <w:tcPr>
            <w:tcW w:w="144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студентов</w:t>
            </w:r>
          </w:p>
        </w:tc>
      </w:tr>
      <w:tr w:rsidR="00FE5AE9">
        <w:tc>
          <w:tcPr>
            <w:tcW w:w="534"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237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Филиал Московской Государственной Академии Приборостроения и Информатики</w:t>
            </w:r>
          </w:p>
        </w:tc>
        <w:tc>
          <w:tcPr>
            <w:tcW w:w="270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Вычислительные машины системы, комплексы и сети</w:t>
            </w:r>
          </w:p>
        </w:tc>
        <w:tc>
          <w:tcPr>
            <w:tcW w:w="108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дневная</w:t>
            </w:r>
          </w:p>
        </w:tc>
        <w:tc>
          <w:tcPr>
            <w:tcW w:w="108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лет</w:t>
            </w:r>
          </w:p>
        </w:tc>
        <w:tc>
          <w:tcPr>
            <w:tcW w:w="144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341 человек</w:t>
            </w:r>
          </w:p>
        </w:tc>
      </w:tr>
      <w:tr w:rsidR="00FE5AE9">
        <w:tc>
          <w:tcPr>
            <w:tcW w:w="534" w:type="dxa"/>
            <w:tcBorders>
              <w:top w:val="single" w:sz="6" w:space="0" w:color="auto"/>
              <w:left w:val="single" w:sz="6" w:space="0" w:color="auto"/>
              <w:bottom w:val="single" w:sz="6" w:space="0" w:color="auto"/>
              <w:right w:val="single" w:sz="6" w:space="0" w:color="auto"/>
            </w:tcBorders>
          </w:tcPr>
          <w:p w:rsidR="00FE5AE9" w:rsidRDefault="00FE5AE9">
            <w:pPr>
              <w:widowControl w:val="0"/>
              <w:autoSpaceDE w:val="0"/>
              <w:autoSpaceDN w:val="0"/>
              <w:adjustRightInd w:val="0"/>
              <w:spacing w:after="0" w:line="240" w:lineRule="auto"/>
              <w:rPr>
                <w:rFonts w:ascii="Times New Roman CYR" w:hAnsi="Times New Roman CYR" w:cs="Times New Roman CYR"/>
                <w:sz w:val="20"/>
                <w:szCs w:val="20"/>
              </w:rPr>
            </w:pPr>
          </w:p>
        </w:tc>
        <w:tc>
          <w:tcPr>
            <w:tcW w:w="2370" w:type="dxa"/>
            <w:tcBorders>
              <w:top w:val="single" w:sz="6" w:space="0" w:color="auto"/>
              <w:left w:val="single" w:sz="6" w:space="0" w:color="auto"/>
              <w:bottom w:val="single" w:sz="6" w:space="0" w:color="auto"/>
              <w:right w:val="single" w:sz="6" w:space="0" w:color="auto"/>
            </w:tcBorders>
          </w:tcPr>
          <w:p w:rsidR="00FE5AE9" w:rsidRDefault="00FE5AE9">
            <w:pPr>
              <w:widowControl w:val="0"/>
              <w:autoSpaceDE w:val="0"/>
              <w:autoSpaceDN w:val="0"/>
              <w:adjustRightInd w:val="0"/>
              <w:spacing w:after="0" w:line="240" w:lineRule="auto"/>
              <w:rPr>
                <w:rFonts w:ascii="Times New Roman CYR" w:hAnsi="Times New Roman CYR" w:cs="Times New Roman CYR"/>
                <w:sz w:val="20"/>
                <w:szCs w:val="20"/>
              </w:rPr>
            </w:pPr>
          </w:p>
        </w:tc>
        <w:tc>
          <w:tcPr>
            <w:tcW w:w="270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Маркетинг</w:t>
            </w:r>
          </w:p>
        </w:tc>
        <w:tc>
          <w:tcPr>
            <w:tcW w:w="108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дневная</w:t>
            </w:r>
          </w:p>
        </w:tc>
        <w:tc>
          <w:tcPr>
            <w:tcW w:w="108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лет</w:t>
            </w:r>
          </w:p>
        </w:tc>
        <w:tc>
          <w:tcPr>
            <w:tcW w:w="144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147 человек</w:t>
            </w:r>
          </w:p>
        </w:tc>
      </w:tr>
      <w:tr w:rsidR="00FE5AE9">
        <w:tc>
          <w:tcPr>
            <w:tcW w:w="534"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237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Филиал Российского Государственного Гуманитарного Университета</w:t>
            </w:r>
          </w:p>
        </w:tc>
        <w:tc>
          <w:tcPr>
            <w:tcW w:w="270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Экономика и управление</w:t>
            </w:r>
          </w:p>
        </w:tc>
        <w:tc>
          <w:tcPr>
            <w:tcW w:w="108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заочная</w:t>
            </w:r>
          </w:p>
        </w:tc>
        <w:tc>
          <w:tcPr>
            <w:tcW w:w="108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лет</w:t>
            </w:r>
          </w:p>
        </w:tc>
        <w:tc>
          <w:tcPr>
            <w:tcW w:w="144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 человека</w:t>
            </w:r>
          </w:p>
        </w:tc>
      </w:tr>
      <w:tr w:rsidR="00FE5AE9">
        <w:tc>
          <w:tcPr>
            <w:tcW w:w="534" w:type="dxa"/>
            <w:tcBorders>
              <w:top w:val="single" w:sz="6" w:space="0" w:color="auto"/>
              <w:left w:val="single" w:sz="6" w:space="0" w:color="auto"/>
              <w:bottom w:val="single" w:sz="6" w:space="0" w:color="auto"/>
              <w:right w:val="single" w:sz="6" w:space="0" w:color="auto"/>
            </w:tcBorders>
          </w:tcPr>
          <w:p w:rsidR="00FE5AE9" w:rsidRDefault="00FE5AE9">
            <w:pPr>
              <w:widowControl w:val="0"/>
              <w:autoSpaceDE w:val="0"/>
              <w:autoSpaceDN w:val="0"/>
              <w:adjustRightInd w:val="0"/>
              <w:spacing w:after="0" w:line="240" w:lineRule="auto"/>
              <w:rPr>
                <w:rFonts w:ascii="Times New Roman CYR" w:hAnsi="Times New Roman CYR" w:cs="Times New Roman CYR"/>
                <w:sz w:val="20"/>
                <w:szCs w:val="20"/>
              </w:rPr>
            </w:pPr>
          </w:p>
        </w:tc>
        <w:tc>
          <w:tcPr>
            <w:tcW w:w="2370" w:type="dxa"/>
            <w:tcBorders>
              <w:top w:val="single" w:sz="6" w:space="0" w:color="auto"/>
              <w:left w:val="single" w:sz="6" w:space="0" w:color="auto"/>
              <w:bottom w:val="single" w:sz="6" w:space="0" w:color="auto"/>
              <w:right w:val="single" w:sz="6" w:space="0" w:color="auto"/>
            </w:tcBorders>
          </w:tcPr>
          <w:p w:rsidR="00FE5AE9" w:rsidRDefault="00FE5AE9">
            <w:pPr>
              <w:widowControl w:val="0"/>
              <w:autoSpaceDE w:val="0"/>
              <w:autoSpaceDN w:val="0"/>
              <w:adjustRightInd w:val="0"/>
              <w:spacing w:after="0" w:line="240" w:lineRule="auto"/>
              <w:rPr>
                <w:rFonts w:ascii="Times New Roman CYR" w:hAnsi="Times New Roman CYR" w:cs="Times New Roman CYR"/>
                <w:sz w:val="20"/>
                <w:szCs w:val="20"/>
              </w:rPr>
            </w:pPr>
          </w:p>
        </w:tc>
        <w:tc>
          <w:tcPr>
            <w:tcW w:w="270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Финансы и кредит</w:t>
            </w:r>
          </w:p>
        </w:tc>
        <w:tc>
          <w:tcPr>
            <w:tcW w:w="108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заочная</w:t>
            </w:r>
          </w:p>
        </w:tc>
        <w:tc>
          <w:tcPr>
            <w:tcW w:w="108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лет</w:t>
            </w:r>
          </w:p>
        </w:tc>
        <w:tc>
          <w:tcPr>
            <w:tcW w:w="144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 человек</w:t>
            </w:r>
          </w:p>
        </w:tc>
      </w:tr>
      <w:tr w:rsidR="00FE5AE9">
        <w:tc>
          <w:tcPr>
            <w:tcW w:w="534" w:type="dxa"/>
            <w:tcBorders>
              <w:top w:val="single" w:sz="6" w:space="0" w:color="auto"/>
              <w:left w:val="single" w:sz="6" w:space="0" w:color="auto"/>
              <w:bottom w:val="single" w:sz="6" w:space="0" w:color="auto"/>
              <w:right w:val="single" w:sz="6" w:space="0" w:color="auto"/>
            </w:tcBorders>
          </w:tcPr>
          <w:p w:rsidR="00FE5AE9" w:rsidRDefault="00FE5AE9">
            <w:pPr>
              <w:widowControl w:val="0"/>
              <w:autoSpaceDE w:val="0"/>
              <w:autoSpaceDN w:val="0"/>
              <w:adjustRightInd w:val="0"/>
              <w:spacing w:after="0" w:line="240" w:lineRule="auto"/>
              <w:rPr>
                <w:rFonts w:ascii="Times New Roman CYR" w:hAnsi="Times New Roman CYR" w:cs="Times New Roman CYR"/>
                <w:sz w:val="20"/>
                <w:szCs w:val="20"/>
              </w:rPr>
            </w:pPr>
          </w:p>
        </w:tc>
        <w:tc>
          <w:tcPr>
            <w:tcW w:w="2370" w:type="dxa"/>
            <w:tcBorders>
              <w:top w:val="single" w:sz="6" w:space="0" w:color="auto"/>
              <w:left w:val="single" w:sz="6" w:space="0" w:color="auto"/>
              <w:bottom w:val="single" w:sz="6" w:space="0" w:color="auto"/>
              <w:right w:val="single" w:sz="6" w:space="0" w:color="auto"/>
            </w:tcBorders>
          </w:tcPr>
          <w:p w:rsidR="00FE5AE9" w:rsidRDefault="00FE5AE9">
            <w:pPr>
              <w:widowControl w:val="0"/>
              <w:autoSpaceDE w:val="0"/>
              <w:autoSpaceDN w:val="0"/>
              <w:adjustRightInd w:val="0"/>
              <w:spacing w:after="0" w:line="240" w:lineRule="auto"/>
              <w:rPr>
                <w:rFonts w:ascii="Times New Roman CYR" w:hAnsi="Times New Roman CYR" w:cs="Times New Roman CYR"/>
                <w:sz w:val="20"/>
                <w:szCs w:val="20"/>
              </w:rPr>
            </w:pPr>
          </w:p>
        </w:tc>
        <w:tc>
          <w:tcPr>
            <w:tcW w:w="270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Юриспруденция</w:t>
            </w:r>
          </w:p>
        </w:tc>
        <w:tc>
          <w:tcPr>
            <w:tcW w:w="108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заочная</w:t>
            </w:r>
          </w:p>
        </w:tc>
        <w:tc>
          <w:tcPr>
            <w:tcW w:w="108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лет</w:t>
            </w:r>
          </w:p>
        </w:tc>
        <w:tc>
          <w:tcPr>
            <w:tcW w:w="144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87 человек</w:t>
            </w:r>
          </w:p>
        </w:tc>
      </w:tr>
      <w:tr w:rsidR="00FE5AE9">
        <w:tc>
          <w:tcPr>
            <w:tcW w:w="534" w:type="dxa"/>
            <w:tcBorders>
              <w:top w:val="single" w:sz="6" w:space="0" w:color="auto"/>
              <w:left w:val="single" w:sz="6" w:space="0" w:color="auto"/>
              <w:bottom w:val="single" w:sz="6" w:space="0" w:color="auto"/>
              <w:right w:val="single" w:sz="6" w:space="0" w:color="auto"/>
            </w:tcBorders>
          </w:tcPr>
          <w:p w:rsidR="00FE5AE9" w:rsidRDefault="00FE5AE9">
            <w:pPr>
              <w:widowControl w:val="0"/>
              <w:autoSpaceDE w:val="0"/>
              <w:autoSpaceDN w:val="0"/>
              <w:adjustRightInd w:val="0"/>
              <w:spacing w:after="0" w:line="240" w:lineRule="auto"/>
              <w:rPr>
                <w:rFonts w:ascii="Times New Roman CYR" w:hAnsi="Times New Roman CYR" w:cs="Times New Roman CYR"/>
                <w:sz w:val="20"/>
                <w:szCs w:val="20"/>
              </w:rPr>
            </w:pPr>
          </w:p>
        </w:tc>
        <w:tc>
          <w:tcPr>
            <w:tcW w:w="2370" w:type="dxa"/>
            <w:tcBorders>
              <w:top w:val="single" w:sz="6" w:space="0" w:color="auto"/>
              <w:left w:val="single" w:sz="6" w:space="0" w:color="auto"/>
              <w:bottom w:val="single" w:sz="6" w:space="0" w:color="auto"/>
              <w:right w:val="single" w:sz="6" w:space="0" w:color="auto"/>
            </w:tcBorders>
          </w:tcPr>
          <w:p w:rsidR="00FE5AE9" w:rsidRDefault="00FE5AE9">
            <w:pPr>
              <w:widowControl w:val="0"/>
              <w:autoSpaceDE w:val="0"/>
              <w:autoSpaceDN w:val="0"/>
              <w:adjustRightInd w:val="0"/>
              <w:spacing w:after="0" w:line="240" w:lineRule="auto"/>
              <w:rPr>
                <w:rFonts w:ascii="Times New Roman CYR" w:hAnsi="Times New Roman CYR" w:cs="Times New Roman CYR"/>
                <w:sz w:val="20"/>
                <w:szCs w:val="20"/>
              </w:rPr>
            </w:pPr>
          </w:p>
        </w:tc>
        <w:tc>
          <w:tcPr>
            <w:tcW w:w="270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Психология</w:t>
            </w:r>
          </w:p>
        </w:tc>
        <w:tc>
          <w:tcPr>
            <w:tcW w:w="108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заочная</w:t>
            </w:r>
          </w:p>
        </w:tc>
        <w:tc>
          <w:tcPr>
            <w:tcW w:w="108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лет</w:t>
            </w:r>
          </w:p>
        </w:tc>
        <w:tc>
          <w:tcPr>
            <w:tcW w:w="144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 человек</w:t>
            </w:r>
          </w:p>
        </w:tc>
      </w:tr>
      <w:tr w:rsidR="00FE5AE9">
        <w:tc>
          <w:tcPr>
            <w:tcW w:w="534"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237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Чеховский филиал Современной Гуманитарной Академии (негосударственное </w:t>
            </w:r>
            <w:r>
              <w:rPr>
                <w:rFonts w:ascii="Times New Roman CYR" w:hAnsi="Times New Roman CYR" w:cs="Times New Roman CYR"/>
                <w:sz w:val="20"/>
                <w:szCs w:val="20"/>
              </w:rPr>
              <w:lastRenderedPageBreak/>
              <w:t>учреждение)</w:t>
            </w:r>
          </w:p>
        </w:tc>
        <w:tc>
          <w:tcPr>
            <w:tcW w:w="270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Менеджмент</w:t>
            </w:r>
          </w:p>
        </w:tc>
        <w:tc>
          <w:tcPr>
            <w:tcW w:w="108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дневная</w:t>
            </w:r>
          </w:p>
        </w:tc>
        <w:tc>
          <w:tcPr>
            <w:tcW w:w="108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лет</w:t>
            </w:r>
          </w:p>
        </w:tc>
        <w:tc>
          <w:tcPr>
            <w:tcW w:w="144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 человек</w:t>
            </w:r>
          </w:p>
        </w:tc>
      </w:tr>
      <w:tr w:rsidR="00FE5AE9">
        <w:tc>
          <w:tcPr>
            <w:tcW w:w="534" w:type="dxa"/>
            <w:tcBorders>
              <w:top w:val="single" w:sz="6" w:space="0" w:color="auto"/>
              <w:left w:val="single" w:sz="6" w:space="0" w:color="auto"/>
              <w:bottom w:val="single" w:sz="6" w:space="0" w:color="auto"/>
              <w:right w:val="single" w:sz="6" w:space="0" w:color="auto"/>
            </w:tcBorders>
          </w:tcPr>
          <w:p w:rsidR="00FE5AE9" w:rsidRDefault="00FE5AE9">
            <w:pPr>
              <w:widowControl w:val="0"/>
              <w:autoSpaceDE w:val="0"/>
              <w:autoSpaceDN w:val="0"/>
              <w:adjustRightInd w:val="0"/>
              <w:spacing w:after="0" w:line="240" w:lineRule="auto"/>
              <w:rPr>
                <w:rFonts w:ascii="Times New Roman CYR" w:hAnsi="Times New Roman CYR" w:cs="Times New Roman CYR"/>
                <w:sz w:val="20"/>
                <w:szCs w:val="20"/>
              </w:rPr>
            </w:pPr>
          </w:p>
        </w:tc>
        <w:tc>
          <w:tcPr>
            <w:tcW w:w="2370" w:type="dxa"/>
            <w:tcBorders>
              <w:top w:val="single" w:sz="6" w:space="0" w:color="auto"/>
              <w:left w:val="single" w:sz="6" w:space="0" w:color="auto"/>
              <w:bottom w:val="single" w:sz="6" w:space="0" w:color="auto"/>
              <w:right w:val="single" w:sz="6" w:space="0" w:color="auto"/>
            </w:tcBorders>
          </w:tcPr>
          <w:p w:rsidR="00FE5AE9" w:rsidRDefault="00FE5AE9">
            <w:pPr>
              <w:widowControl w:val="0"/>
              <w:autoSpaceDE w:val="0"/>
              <w:autoSpaceDN w:val="0"/>
              <w:adjustRightInd w:val="0"/>
              <w:spacing w:after="0" w:line="240" w:lineRule="auto"/>
              <w:rPr>
                <w:rFonts w:ascii="Times New Roman CYR" w:hAnsi="Times New Roman CYR" w:cs="Times New Roman CYR"/>
                <w:sz w:val="20"/>
                <w:szCs w:val="20"/>
              </w:rPr>
            </w:pPr>
          </w:p>
        </w:tc>
        <w:tc>
          <w:tcPr>
            <w:tcW w:w="270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Юриспруденция</w:t>
            </w:r>
          </w:p>
        </w:tc>
        <w:tc>
          <w:tcPr>
            <w:tcW w:w="108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дневная</w:t>
            </w:r>
          </w:p>
        </w:tc>
        <w:tc>
          <w:tcPr>
            <w:tcW w:w="108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лет</w:t>
            </w:r>
          </w:p>
        </w:tc>
        <w:tc>
          <w:tcPr>
            <w:tcW w:w="144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 человек</w:t>
            </w:r>
          </w:p>
        </w:tc>
      </w:tr>
      <w:tr w:rsidR="00FE5AE9">
        <w:tc>
          <w:tcPr>
            <w:tcW w:w="534" w:type="dxa"/>
            <w:tcBorders>
              <w:top w:val="single" w:sz="6" w:space="0" w:color="auto"/>
              <w:left w:val="single" w:sz="6" w:space="0" w:color="auto"/>
              <w:bottom w:val="single" w:sz="6" w:space="0" w:color="auto"/>
              <w:right w:val="single" w:sz="6" w:space="0" w:color="auto"/>
            </w:tcBorders>
          </w:tcPr>
          <w:p w:rsidR="00FE5AE9" w:rsidRDefault="00FE5AE9">
            <w:pPr>
              <w:widowControl w:val="0"/>
              <w:autoSpaceDE w:val="0"/>
              <w:autoSpaceDN w:val="0"/>
              <w:adjustRightInd w:val="0"/>
              <w:spacing w:after="0" w:line="240" w:lineRule="auto"/>
              <w:rPr>
                <w:rFonts w:ascii="Times New Roman CYR" w:hAnsi="Times New Roman CYR" w:cs="Times New Roman CYR"/>
                <w:sz w:val="20"/>
                <w:szCs w:val="20"/>
              </w:rPr>
            </w:pPr>
          </w:p>
        </w:tc>
        <w:tc>
          <w:tcPr>
            <w:tcW w:w="2370" w:type="dxa"/>
            <w:tcBorders>
              <w:top w:val="single" w:sz="6" w:space="0" w:color="auto"/>
              <w:left w:val="single" w:sz="6" w:space="0" w:color="auto"/>
              <w:bottom w:val="single" w:sz="6" w:space="0" w:color="auto"/>
              <w:right w:val="single" w:sz="6" w:space="0" w:color="auto"/>
            </w:tcBorders>
          </w:tcPr>
          <w:p w:rsidR="00FE5AE9" w:rsidRDefault="00FE5AE9">
            <w:pPr>
              <w:widowControl w:val="0"/>
              <w:autoSpaceDE w:val="0"/>
              <w:autoSpaceDN w:val="0"/>
              <w:adjustRightInd w:val="0"/>
              <w:spacing w:after="0" w:line="240" w:lineRule="auto"/>
              <w:rPr>
                <w:rFonts w:ascii="Times New Roman CYR" w:hAnsi="Times New Roman CYR" w:cs="Times New Roman CYR"/>
                <w:sz w:val="20"/>
                <w:szCs w:val="20"/>
              </w:rPr>
            </w:pPr>
          </w:p>
        </w:tc>
        <w:tc>
          <w:tcPr>
            <w:tcW w:w="2700" w:type="dxa"/>
            <w:tcBorders>
              <w:top w:val="single" w:sz="6" w:space="0" w:color="auto"/>
              <w:left w:val="single" w:sz="6" w:space="0" w:color="auto"/>
              <w:bottom w:val="single" w:sz="6" w:space="0" w:color="auto"/>
              <w:right w:val="single" w:sz="6" w:space="0" w:color="auto"/>
            </w:tcBorders>
          </w:tcPr>
          <w:p w:rsidR="00FE5AE9" w:rsidRDefault="00FE5AE9">
            <w:pPr>
              <w:widowControl w:val="0"/>
              <w:autoSpaceDE w:val="0"/>
              <w:autoSpaceDN w:val="0"/>
              <w:adjustRightInd w:val="0"/>
              <w:spacing w:after="0" w:line="240" w:lineRule="auto"/>
              <w:rPr>
                <w:rFonts w:ascii="Times New Roman CYR" w:hAnsi="Times New Roman CYR" w:cs="Times New Roman CYR"/>
                <w:sz w:val="20"/>
                <w:szCs w:val="20"/>
              </w:rPr>
            </w:pPr>
          </w:p>
        </w:tc>
        <w:tc>
          <w:tcPr>
            <w:tcW w:w="108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вечерняя</w:t>
            </w:r>
          </w:p>
        </w:tc>
        <w:tc>
          <w:tcPr>
            <w:tcW w:w="108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лет</w:t>
            </w:r>
          </w:p>
        </w:tc>
        <w:tc>
          <w:tcPr>
            <w:tcW w:w="144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 человек</w:t>
            </w:r>
          </w:p>
        </w:tc>
      </w:tr>
      <w:tr w:rsidR="00FE5AE9">
        <w:tc>
          <w:tcPr>
            <w:tcW w:w="534" w:type="dxa"/>
            <w:tcBorders>
              <w:top w:val="single" w:sz="6" w:space="0" w:color="auto"/>
              <w:left w:val="single" w:sz="6" w:space="0" w:color="auto"/>
              <w:bottom w:val="single" w:sz="6" w:space="0" w:color="auto"/>
              <w:right w:val="single" w:sz="6" w:space="0" w:color="auto"/>
            </w:tcBorders>
          </w:tcPr>
          <w:p w:rsidR="00FE5AE9" w:rsidRDefault="00FE5AE9">
            <w:pPr>
              <w:widowControl w:val="0"/>
              <w:autoSpaceDE w:val="0"/>
              <w:autoSpaceDN w:val="0"/>
              <w:adjustRightInd w:val="0"/>
              <w:spacing w:after="0" w:line="240" w:lineRule="auto"/>
              <w:rPr>
                <w:rFonts w:ascii="Times New Roman CYR" w:hAnsi="Times New Roman CYR" w:cs="Times New Roman CYR"/>
                <w:sz w:val="20"/>
                <w:szCs w:val="20"/>
              </w:rPr>
            </w:pPr>
          </w:p>
        </w:tc>
        <w:tc>
          <w:tcPr>
            <w:tcW w:w="2370" w:type="dxa"/>
            <w:tcBorders>
              <w:top w:val="single" w:sz="6" w:space="0" w:color="auto"/>
              <w:left w:val="single" w:sz="6" w:space="0" w:color="auto"/>
              <w:bottom w:val="single" w:sz="6" w:space="0" w:color="auto"/>
              <w:right w:val="single" w:sz="6" w:space="0" w:color="auto"/>
            </w:tcBorders>
          </w:tcPr>
          <w:p w:rsidR="00FE5AE9" w:rsidRDefault="00FE5AE9">
            <w:pPr>
              <w:widowControl w:val="0"/>
              <w:autoSpaceDE w:val="0"/>
              <w:autoSpaceDN w:val="0"/>
              <w:adjustRightInd w:val="0"/>
              <w:spacing w:after="0" w:line="240" w:lineRule="auto"/>
              <w:rPr>
                <w:rFonts w:ascii="Times New Roman CYR" w:hAnsi="Times New Roman CYR" w:cs="Times New Roman CYR"/>
                <w:sz w:val="20"/>
                <w:szCs w:val="20"/>
              </w:rPr>
            </w:pPr>
          </w:p>
        </w:tc>
        <w:tc>
          <w:tcPr>
            <w:tcW w:w="2700" w:type="dxa"/>
            <w:tcBorders>
              <w:top w:val="single" w:sz="6" w:space="0" w:color="auto"/>
              <w:left w:val="single" w:sz="6" w:space="0" w:color="auto"/>
              <w:bottom w:val="single" w:sz="6" w:space="0" w:color="auto"/>
              <w:right w:val="single" w:sz="6" w:space="0" w:color="auto"/>
            </w:tcBorders>
          </w:tcPr>
          <w:p w:rsidR="00FE5AE9" w:rsidRDefault="00FE5AE9">
            <w:pPr>
              <w:widowControl w:val="0"/>
              <w:autoSpaceDE w:val="0"/>
              <w:autoSpaceDN w:val="0"/>
              <w:adjustRightInd w:val="0"/>
              <w:spacing w:after="0" w:line="240" w:lineRule="auto"/>
              <w:rPr>
                <w:rFonts w:ascii="Times New Roman CYR" w:hAnsi="Times New Roman CYR" w:cs="Times New Roman CYR"/>
                <w:sz w:val="20"/>
                <w:szCs w:val="20"/>
              </w:rPr>
            </w:pPr>
          </w:p>
        </w:tc>
        <w:tc>
          <w:tcPr>
            <w:tcW w:w="108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вечерняя</w:t>
            </w:r>
          </w:p>
        </w:tc>
        <w:tc>
          <w:tcPr>
            <w:tcW w:w="108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года</w:t>
            </w:r>
          </w:p>
        </w:tc>
        <w:tc>
          <w:tcPr>
            <w:tcW w:w="144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 человек</w:t>
            </w:r>
          </w:p>
        </w:tc>
      </w:tr>
      <w:tr w:rsidR="00FE5AE9">
        <w:tc>
          <w:tcPr>
            <w:tcW w:w="534" w:type="dxa"/>
            <w:tcBorders>
              <w:top w:val="single" w:sz="6" w:space="0" w:color="auto"/>
              <w:left w:val="single" w:sz="6" w:space="0" w:color="auto"/>
              <w:bottom w:val="single" w:sz="6" w:space="0" w:color="auto"/>
              <w:right w:val="single" w:sz="6" w:space="0" w:color="auto"/>
            </w:tcBorders>
          </w:tcPr>
          <w:p w:rsidR="00FE5AE9" w:rsidRDefault="00FE5AE9">
            <w:pPr>
              <w:widowControl w:val="0"/>
              <w:autoSpaceDE w:val="0"/>
              <w:autoSpaceDN w:val="0"/>
              <w:adjustRightInd w:val="0"/>
              <w:spacing w:after="0" w:line="240" w:lineRule="auto"/>
              <w:rPr>
                <w:rFonts w:ascii="Times New Roman CYR" w:hAnsi="Times New Roman CYR" w:cs="Times New Roman CYR"/>
                <w:sz w:val="20"/>
                <w:szCs w:val="20"/>
              </w:rPr>
            </w:pPr>
          </w:p>
        </w:tc>
        <w:tc>
          <w:tcPr>
            <w:tcW w:w="2370" w:type="dxa"/>
            <w:tcBorders>
              <w:top w:val="single" w:sz="6" w:space="0" w:color="auto"/>
              <w:left w:val="single" w:sz="6" w:space="0" w:color="auto"/>
              <w:bottom w:val="single" w:sz="6" w:space="0" w:color="auto"/>
              <w:right w:val="single" w:sz="6" w:space="0" w:color="auto"/>
            </w:tcBorders>
          </w:tcPr>
          <w:p w:rsidR="00FE5AE9" w:rsidRDefault="00FE5AE9">
            <w:pPr>
              <w:widowControl w:val="0"/>
              <w:autoSpaceDE w:val="0"/>
              <w:autoSpaceDN w:val="0"/>
              <w:adjustRightInd w:val="0"/>
              <w:spacing w:after="0" w:line="240" w:lineRule="auto"/>
              <w:rPr>
                <w:rFonts w:ascii="Times New Roman CYR" w:hAnsi="Times New Roman CYR" w:cs="Times New Roman CYR"/>
                <w:sz w:val="20"/>
                <w:szCs w:val="20"/>
              </w:rPr>
            </w:pPr>
          </w:p>
        </w:tc>
        <w:tc>
          <w:tcPr>
            <w:tcW w:w="2700" w:type="dxa"/>
            <w:tcBorders>
              <w:top w:val="single" w:sz="6" w:space="0" w:color="auto"/>
              <w:left w:val="single" w:sz="6" w:space="0" w:color="auto"/>
              <w:bottom w:val="single" w:sz="6" w:space="0" w:color="auto"/>
              <w:right w:val="single" w:sz="6" w:space="0" w:color="auto"/>
            </w:tcBorders>
          </w:tcPr>
          <w:p w:rsidR="00FE5AE9" w:rsidRDefault="00FE5AE9">
            <w:pPr>
              <w:widowControl w:val="0"/>
              <w:autoSpaceDE w:val="0"/>
              <w:autoSpaceDN w:val="0"/>
              <w:adjustRightInd w:val="0"/>
              <w:spacing w:after="0" w:line="240" w:lineRule="auto"/>
              <w:rPr>
                <w:rFonts w:ascii="Times New Roman CYR" w:hAnsi="Times New Roman CYR" w:cs="Times New Roman CYR"/>
                <w:sz w:val="20"/>
                <w:szCs w:val="20"/>
              </w:rPr>
            </w:pPr>
          </w:p>
        </w:tc>
        <w:tc>
          <w:tcPr>
            <w:tcW w:w="108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заочная</w:t>
            </w:r>
          </w:p>
        </w:tc>
        <w:tc>
          <w:tcPr>
            <w:tcW w:w="108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лет</w:t>
            </w:r>
          </w:p>
        </w:tc>
        <w:tc>
          <w:tcPr>
            <w:tcW w:w="144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 человек</w:t>
            </w:r>
          </w:p>
        </w:tc>
      </w:tr>
      <w:tr w:rsidR="00FE5AE9">
        <w:tc>
          <w:tcPr>
            <w:tcW w:w="534" w:type="dxa"/>
            <w:tcBorders>
              <w:top w:val="single" w:sz="6" w:space="0" w:color="auto"/>
              <w:left w:val="single" w:sz="6" w:space="0" w:color="auto"/>
              <w:bottom w:val="single" w:sz="6" w:space="0" w:color="auto"/>
              <w:right w:val="single" w:sz="6" w:space="0" w:color="auto"/>
            </w:tcBorders>
          </w:tcPr>
          <w:p w:rsidR="00FE5AE9" w:rsidRDefault="00FE5AE9">
            <w:pPr>
              <w:widowControl w:val="0"/>
              <w:autoSpaceDE w:val="0"/>
              <w:autoSpaceDN w:val="0"/>
              <w:adjustRightInd w:val="0"/>
              <w:spacing w:after="0" w:line="240" w:lineRule="auto"/>
              <w:rPr>
                <w:rFonts w:ascii="Times New Roman CYR" w:hAnsi="Times New Roman CYR" w:cs="Times New Roman CYR"/>
                <w:sz w:val="20"/>
                <w:szCs w:val="20"/>
              </w:rPr>
            </w:pPr>
          </w:p>
        </w:tc>
        <w:tc>
          <w:tcPr>
            <w:tcW w:w="2370" w:type="dxa"/>
            <w:tcBorders>
              <w:top w:val="single" w:sz="6" w:space="0" w:color="auto"/>
              <w:left w:val="single" w:sz="6" w:space="0" w:color="auto"/>
              <w:bottom w:val="single" w:sz="6" w:space="0" w:color="auto"/>
              <w:right w:val="single" w:sz="6" w:space="0" w:color="auto"/>
            </w:tcBorders>
          </w:tcPr>
          <w:p w:rsidR="00FE5AE9" w:rsidRDefault="00FE5AE9">
            <w:pPr>
              <w:widowControl w:val="0"/>
              <w:autoSpaceDE w:val="0"/>
              <w:autoSpaceDN w:val="0"/>
              <w:adjustRightInd w:val="0"/>
              <w:spacing w:after="0" w:line="240" w:lineRule="auto"/>
              <w:rPr>
                <w:rFonts w:ascii="Times New Roman CYR" w:hAnsi="Times New Roman CYR" w:cs="Times New Roman CYR"/>
                <w:sz w:val="20"/>
                <w:szCs w:val="20"/>
              </w:rPr>
            </w:pPr>
          </w:p>
        </w:tc>
        <w:tc>
          <w:tcPr>
            <w:tcW w:w="270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Информатика</w:t>
            </w:r>
          </w:p>
        </w:tc>
        <w:tc>
          <w:tcPr>
            <w:tcW w:w="108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дневная</w:t>
            </w:r>
          </w:p>
        </w:tc>
        <w:tc>
          <w:tcPr>
            <w:tcW w:w="108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лет</w:t>
            </w:r>
          </w:p>
        </w:tc>
        <w:tc>
          <w:tcPr>
            <w:tcW w:w="144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 человек</w:t>
            </w:r>
          </w:p>
        </w:tc>
      </w:tr>
      <w:tr w:rsidR="00FE5AE9">
        <w:tc>
          <w:tcPr>
            <w:tcW w:w="534" w:type="dxa"/>
            <w:tcBorders>
              <w:top w:val="single" w:sz="6" w:space="0" w:color="auto"/>
              <w:left w:val="single" w:sz="6" w:space="0" w:color="auto"/>
              <w:bottom w:val="single" w:sz="6" w:space="0" w:color="auto"/>
              <w:right w:val="single" w:sz="6" w:space="0" w:color="auto"/>
            </w:tcBorders>
          </w:tcPr>
          <w:p w:rsidR="00FE5AE9" w:rsidRDefault="00FE5AE9">
            <w:pPr>
              <w:widowControl w:val="0"/>
              <w:autoSpaceDE w:val="0"/>
              <w:autoSpaceDN w:val="0"/>
              <w:adjustRightInd w:val="0"/>
              <w:spacing w:after="0" w:line="240" w:lineRule="auto"/>
              <w:rPr>
                <w:rFonts w:ascii="Times New Roman CYR" w:hAnsi="Times New Roman CYR" w:cs="Times New Roman CYR"/>
                <w:sz w:val="20"/>
                <w:szCs w:val="20"/>
              </w:rPr>
            </w:pPr>
          </w:p>
        </w:tc>
        <w:tc>
          <w:tcPr>
            <w:tcW w:w="2370" w:type="dxa"/>
            <w:tcBorders>
              <w:top w:val="single" w:sz="6" w:space="0" w:color="auto"/>
              <w:left w:val="single" w:sz="6" w:space="0" w:color="auto"/>
              <w:bottom w:val="single" w:sz="6" w:space="0" w:color="auto"/>
              <w:right w:val="single" w:sz="6" w:space="0" w:color="auto"/>
            </w:tcBorders>
          </w:tcPr>
          <w:p w:rsidR="00FE5AE9" w:rsidRDefault="00FE5AE9">
            <w:pPr>
              <w:widowControl w:val="0"/>
              <w:autoSpaceDE w:val="0"/>
              <w:autoSpaceDN w:val="0"/>
              <w:adjustRightInd w:val="0"/>
              <w:spacing w:after="0" w:line="240" w:lineRule="auto"/>
              <w:rPr>
                <w:rFonts w:ascii="Times New Roman CYR" w:hAnsi="Times New Roman CYR" w:cs="Times New Roman CYR"/>
                <w:sz w:val="20"/>
                <w:szCs w:val="20"/>
              </w:rPr>
            </w:pPr>
          </w:p>
        </w:tc>
        <w:tc>
          <w:tcPr>
            <w:tcW w:w="270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Бухгалтерский учет, анализ и аудит</w:t>
            </w:r>
          </w:p>
        </w:tc>
        <w:tc>
          <w:tcPr>
            <w:tcW w:w="108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вечерняя,сокращ.</w:t>
            </w:r>
          </w:p>
        </w:tc>
        <w:tc>
          <w:tcPr>
            <w:tcW w:w="108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года</w:t>
            </w:r>
          </w:p>
        </w:tc>
        <w:tc>
          <w:tcPr>
            <w:tcW w:w="144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 человек</w:t>
            </w:r>
          </w:p>
        </w:tc>
      </w:tr>
      <w:tr w:rsidR="00FE5AE9">
        <w:tc>
          <w:tcPr>
            <w:tcW w:w="534" w:type="dxa"/>
            <w:tcBorders>
              <w:top w:val="single" w:sz="6" w:space="0" w:color="auto"/>
              <w:left w:val="single" w:sz="6" w:space="0" w:color="auto"/>
              <w:bottom w:val="single" w:sz="6" w:space="0" w:color="auto"/>
              <w:right w:val="single" w:sz="6" w:space="0" w:color="auto"/>
            </w:tcBorders>
          </w:tcPr>
          <w:p w:rsidR="00FE5AE9" w:rsidRDefault="00FE5AE9">
            <w:pPr>
              <w:widowControl w:val="0"/>
              <w:autoSpaceDE w:val="0"/>
              <w:autoSpaceDN w:val="0"/>
              <w:adjustRightInd w:val="0"/>
              <w:spacing w:after="0" w:line="240" w:lineRule="auto"/>
              <w:rPr>
                <w:rFonts w:ascii="Times New Roman CYR" w:hAnsi="Times New Roman CYR" w:cs="Times New Roman CYR"/>
                <w:sz w:val="20"/>
                <w:szCs w:val="20"/>
              </w:rPr>
            </w:pPr>
          </w:p>
        </w:tc>
        <w:tc>
          <w:tcPr>
            <w:tcW w:w="2370" w:type="dxa"/>
            <w:tcBorders>
              <w:top w:val="single" w:sz="6" w:space="0" w:color="auto"/>
              <w:left w:val="single" w:sz="6" w:space="0" w:color="auto"/>
              <w:bottom w:val="single" w:sz="6" w:space="0" w:color="auto"/>
              <w:right w:val="single" w:sz="6" w:space="0" w:color="auto"/>
            </w:tcBorders>
          </w:tcPr>
          <w:p w:rsidR="00FE5AE9" w:rsidRDefault="00FE5AE9">
            <w:pPr>
              <w:widowControl w:val="0"/>
              <w:autoSpaceDE w:val="0"/>
              <w:autoSpaceDN w:val="0"/>
              <w:adjustRightInd w:val="0"/>
              <w:spacing w:after="0" w:line="240" w:lineRule="auto"/>
              <w:rPr>
                <w:rFonts w:ascii="Times New Roman CYR" w:hAnsi="Times New Roman CYR" w:cs="Times New Roman CYR"/>
                <w:sz w:val="20"/>
                <w:szCs w:val="20"/>
              </w:rPr>
            </w:pPr>
          </w:p>
        </w:tc>
        <w:tc>
          <w:tcPr>
            <w:tcW w:w="270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Лингвистика</w:t>
            </w:r>
          </w:p>
        </w:tc>
        <w:tc>
          <w:tcPr>
            <w:tcW w:w="108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дневная</w:t>
            </w:r>
          </w:p>
        </w:tc>
        <w:tc>
          <w:tcPr>
            <w:tcW w:w="108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лет</w:t>
            </w:r>
          </w:p>
        </w:tc>
        <w:tc>
          <w:tcPr>
            <w:tcW w:w="144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 человек</w:t>
            </w:r>
          </w:p>
        </w:tc>
      </w:tr>
      <w:tr w:rsidR="00FE5AE9">
        <w:tc>
          <w:tcPr>
            <w:tcW w:w="534" w:type="dxa"/>
            <w:tcBorders>
              <w:top w:val="single" w:sz="6" w:space="0" w:color="auto"/>
              <w:left w:val="single" w:sz="6" w:space="0" w:color="auto"/>
              <w:bottom w:val="single" w:sz="6" w:space="0" w:color="auto"/>
              <w:right w:val="single" w:sz="6" w:space="0" w:color="auto"/>
            </w:tcBorders>
          </w:tcPr>
          <w:p w:rsidR="00FE5AE9" w:rsidRDefault="00FE5AE9">
            <w:pPr>
              <w:widowControl w:val="0"/>
              <w:autoSpaceDE w:val="0"/>
              <w:autoSpaceDN w:val="0"/>
              <w:adjustRightInd w:val="0"/>
              <w:spacing w:after="0" w:line="240" w:lineRule="auto"/>
              <w:rPr>
                <w:rFonts w:ascii="Times New Roman CYR" w:hAnsi="Times New Roman CYR" w:cs="Times New Roman CYR"/>
                <w:sz w:val="20"/>
                <w:szCs w:val="20"/>
              </w:rPr>
            </w:pPr>
          </w:p>
        </w:tc>
        <w:tc>
          <w:tcPr>
            <w:tcW w:w="2370" w:type="dxa"/>
            <w:tcBorders>
              <w:top w:val="single" w:sz="6" w:space="0" w:color="auto"/>
              <w:left w:val="single" w:sz="6" w:space="0" w:color="auto"/>
              <w:bottom w:val="single" w:sz="6" w:space="0" w:color="auto"/>
              <w:right w:val="single" w:sz="6" w:space="0" w:color="auto"/>
            </w:tcBorders>
          </w:tcPr>
          <w:p w:rsidR="00FE5AE9" w:rsidRDefault="00FE5AE9">
            <w:pPr>
              <w:widowControl w:val="0"/>
              <w:autoSpaceDE w:val="0"/>
              <w:autoSpaceDN w:val="0"/>
              <w:adjustRightInd w:val="0"/>
              <w:spacing w:after="0" w:line="240" w:lineRule="auto"/>
              <w:rPr>
                <w:rFonts w:ascii="Times New Roman CYR" w:hAnsi="Times New Roman CYR" w:cs="Times New Roman CYR"/>
                <w:sz w:val="20"/>
                <w:szCs w:val="20"/>
              </w:rPr>
            </w:pPr>
          </w:p>
        </w:tc>
        <w:tc>
          <w:tcPr>
            <w:tcW w:w="270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Психология</w:t>
            </w:r>
          </w:p>
        </w:tc>
        <w:tc>
          <w:tcPr>
            <w:tcW w:w="108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дневная</w:t>
            </w:r>
          </w:p>
        </w:tc>
        <w:tc>
          <w:tcPr>
            <w:tcW w:w="108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лет</w:t>
            </w:r>
          </w:p>
        </w:tc>
        <w:tc>
          <w:tcPr>
            <w:tcW w:w="144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 человек</w:t>
            </w:r>
          </w:p>
        </w:tc>
      </w:tr>
      <w:tr w:rsidR="00FE5AE9">
        <w:tc>
          <w:tcPr>
            <w:tcW w:w="534"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237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Представительство Московского Городского Педагогического Университета</w:t>
            </w:r>
          </w:p>
        </w:tc>
        <w:tc>
          <w:tcPr>
            <w:tcW w:w="270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Психология</w:t>
            </w:r>
          </w:p>
        </w:tc>
        <w:tc>
          <w:tcPr>
            <w:tcW w:w="108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заочная</w:t>
            </w:r>
          </w:p>
        </w:tc>
        <w:tc>
          <w:tcPr>
            <w:tcW w:w="108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лет</w:t>
            </w:r>
          </w:p>
        </w:tc>
        <w:tc>
          <w:tcPr>
            <w:tcW w:w="144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 человек</w:t>
            </w:r>
          </w:p>
        </w:tc>
      </w:tr>
      <w:tr w:rsidR="00FE5AE9">
        <w:tc>
          <w:tcPr>
            <w:tcW w:w="534"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237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Представительство Московского Государственного Строительного Университета</w:t>
            </w:r>
          </w:p>
        </w:tc>
        <w:tc>
          <w:tcPr>
            <w:tcW w:w="270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Промышленное гражданское строительство</w:t>
            </w:r>
          </w:p>
        </w:tc>
        <w:tc>
          <w:tcPr>
            <w:tcW w:w="108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заочная</w:t>
            </w:r>
          </w:p>
        </w:tc>
        <w:tc>
          <w:tcPr>
            <w:tcW w:w="108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лет</w:t>
            </w:r>
          </w:p>
        </w:tc>
        <w:tc>
          <w:tcPr>
            <w:tcW w:w="144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 человек</w:t>
            </w:r>
          </w:p>
        </w:tc>
      </w:tr>
      <w:tr w:rsidR="00FE5AE9">
        <w:tc>
          <w:tcPr>
            <w:tcW w:w="534"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237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Представительство Московского Государственного Университета Сервиса</w:t>
            </w:r>
          </w:p>
        </w:tc>
        <w:tc>
          <w:tcPr>
            <w:tcW w:w="270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Юриспруденция</w:t>
            </w:r>
          </w:p>
        </w:tc>
        <w:tc>
          <w:tcPr>
            <w:tcW w:w="108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заочная</w:t>
            </w:r>
          </w:p>
        </w:tc>
        <w:tc>
          <w:tcPr>
            <w:tcW w:w="108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лет</w:t>
            </w:r>
          </w:p>
        </w:tc>
        <w:tc>
          <w:tcPr>
            <w:tcW w:w="144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115 человек</w:t>
            </w:r>
          </w:p>
        </w:tc>
      </w:tr>
      <w:tr w:rsidR="00FE5AE9">
        <w:tc>
          <w:tcPr>
            <w:tcW w:w="534" w:type="dxa"/>
            <w:tcBorders>
              <w:top w:val="single" w:sz="6" w:space="0" w:color="auto"/>
              <w:left w:val="single" w:sz="6" w:space="0" w:color="auto"/>
              <w:bottom w:val="single" w:sz="6" w:space="0" w:color="auto"/>
              <w:right w:val="single" w:sz="6" w:space="0" w:color="auto"/>
            </w:tcBorders>
          </w:tcPr>
          <w:p w:rsidR="00FE5AE9" w:rsidRDefault="00FE5AE9">
            <w:pPr>
              <w:widowControl w:val="0"/>
              <w:autoSpaceDE w:val="0"/>
              <w:autoSpaceDN w:val="0"/>
              <w:adjustRightInd w:val="0"/>
              <w:spacing w:after="0" w:line="240" w:lineRule="auto"/>
              <w:rPr>
                <w:rFonts w:ascii="Times New Roman CYR" w:hAnsi="Times New Roman CYR" w:cs="Times New Roman CYR"/>
                <w:sz w:val="20"/>
                <w:szCs w:val="20"/>
              </w:rPr>
            </w:pPr>
          </w:p>
        </w:tc>
        <w:tc>
          <w:tcPr>
            <w:tcW w:w="2370" w:type="dxa"/>
            <w:tcBorders>
              <w:top w:val="single" w:sz="6" w:space="0" w:color="auto"/>
              <w:left w:val="single" w:sz="6" w:space="0" w:color="auto"/>
              <w:bottom w:val="single" w:sz="6" w:space="0" w:color="auto"/>
              <w:right w:val="single" w:sz="6" w:space="0" w:color="auto"/>
            </w:tcBorders>
          </w:tcPr>
          <w:p w:rsidR="00FE5AE9" w:rsidRDefault="00FE5AE9">
            <w:pPr>
              <w:widowControl w:val="0"/>
              <w:autoSpaceDE w:val="0"/>
              <w:autoSpaceDN w:val="0"/>
              <w:adjustRightInd w:val="0"/>
              <w:spacing w:after="0" w:line="240" w:lineRule="auto"/>
              <w:rPr>
                <w:rFonts w:ascii="Times New Roman CYR" w:hAnsi="Times New Roman CYR" w:cs="Times New Roman CYR"/>
                <w:sz w:val="20"/>
                <w:szCs w:val="20"/>
              </w:rPr>
            </w:pPr>
          </w:p>
        </w:tc>
        <w:tc>
          <w:tcPr>
            <w:tcW w:w="270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Бухгалтерский учет, анализ и аудит</w:t>
            </w:r>
          </w:p>
        </w:tc>
        <w:tc>
          <w:tcPr>
            <w:tcW w:w="108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заочная</w:t>
            </w:r>
          </w:p>
        </w:tc>
        <w:tc>
          <w:tcPr>
            <w:tcW w:w="108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лет</w:t>
            </w:r>
          </w:p>
        </w:tc>
        <w:tc>
          <w:tcPr>
            <w:tcW w:w="144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 человек</w:t>
            </w:r>
          </w:p>
        </w:tc>
      </w:tr>
      <w:tr w:rsidR="00FE5AE9">
        <w:tc>
          <w:tcPr>
            <w:tcW w:w="534" w:type="dxa"/>
            <w:tcBorders>
              <w:top w:val="single" w:sz="6" w:space="0" w:color="auto"/>
              <w:left w:val="single" w:sz="6" w:space="0" w:color="auto"/>
              <w:bottom w:val="single" w:sz="6" w:space="0" w:color="auto"/>
              <w:right w:val="single" w:sz="6" w:space="0" w:color="auto"/>
            </w:tcBorders>
          </w:tcPr>
          <w:p w:rsidR="00FE5AE9" w:rsidRDefault="00FE5AE9">
            <w:pPr>
              <w:widowControl w:val="0"/>
              <w:autoSpaceDE w:val="0"/>
              <w:autoSpaceDN w:val="0"/>
              <w:adjustRightInd w:val="0"/>
              <w:spacing w:after="0" w:line="240" w:lineRule="auto"/>
              <w:rPr>
                <w:rFonts w:ascii="Times New Roman CYR" w:hAnsi="Times New Roman CYR" w:cs="Times New Roman CYR"/>
                <w:sz w:val="20"/>
                <w:szCs w:val="20"/>
              </w:rPr>
            </w:pPr>
          </w:p>
        </w:tc>
        <w:tc>
          <w:tcPr>
            <w:tcW w:w="2370" w:type="dxa"/>
            <w:tcBorders>
              <w:top w:val="single" w:sz="6" w:space="0" w:color="auto"/>
              <w:left w:val="single" w:sz="6" w:space="0" w:color="auto"/>
              <w:bottom w:val="single" w:sz="6" w:space="0" w:color="auto"/>
              <w:right w:val="single" w:sz="6" w:space="0" w:color="auto"/>
            </w:tcBorders>
          </w:tcPr>
          <w:p w:rsidR="00FE5AE9" w:rsidRDefault="00FE5AE9">
            <w:pPr>
              <w:widowControl w:val="0"/>
              <w:autoSpaceDE w:val="0"/>
              <w:autoSpaceDN w:val="0"/>
              <w:adjustRightInd w:val="0"/>
              <w:spacing w:after="0" w:line="240" w:lineRule="auto"/>
              <w:rPr>
                <w:rFonts w:ascii="Times New Roman CYR" w:hAnsi="Times New Roman CYR" w:cs="Times New Roman CYR"/>
                <w:sz w:val="20"/>
                <w:szCs w:val="20"/>
              </w:rPr>
            </w:pPr>
          </w:p>
        </w:tc>
        <w:tc>
          <w:tcPr>
            <w:tcW w:w="270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Государственное и Муниципальное Управление</w:t>
            </w:r>
          </w:p>
        </w:tc>
        <w:tc>
          <w:tcPr>
            <w:tcW w:w="108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заочная</w:t>
            </w:r>
          </w:p>
        </w:tc>
        <w:tc>
          <w:tcPr>
            <w:tcW w:w="108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лет</w:t>
            </w:r>
          </w:p>
        </w:tc>
        <w:tc>
          <w:tcPr>
            <w:tcW w:w="144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175 человек</w:t>
            </w:r>
          </w:p>
        </w:tc>
      </w:tr>
      <w:tr w:rsidR="00FE5AE9">
        <w:tc>
          <w:tcPr>
            <w:tcW w:w="534" w:type="dxa"/>
            <w:tcBorders>
              <w:top w:val="single" w:sz="6" w:space="0" w:color="auto"/>
              <w:left w:val="single" w:sz="6" w:space="0" w:color="auto"/>
              <w:bottom w:val="single" w:sz="6" w:space="0" w:color="auto"/>
              <w:right w:val="single" w:sz="6" w:space="0" w:color="auto"/>
            </w:tcBorders>
          </w:tcPr>
          <w:p w:rsidR="00FE5AE9" w:rsidRDefault="00FE5AE9">
            <w:pPr>
              <w:widowControl w:val="0"/>
              <w:autoSpaceDE w:val="0"/>
              <w:autoSpaceDN w:val="0"/>
              <w:adjustRightInd w:val="0"/>
              <w:spacing w:after="0" w:line="240" w:lineRule="auto"/>
              <w:rPr>
                <w:rFonts w:ascii="Times New Roman CYR" w:hAnsi="Times New Roman CYR" w:cs="Times New Roman CYR"/>
                <w:sz w:val="20"/>
                <w:szCs w:val="20"/>
              </w:rPr>
            </w:pPr>
          </w:p>
        </w:tc>
        <w:tc>
          <w:tcPr>
            <w:tcW w:w="2370" w:type="dxa"/>
            <w:tcBorders>
              <w:top w:val="single" w:sz="6" w:space="0" w:color="auto"/>
              <w:left w:val="single" w:sz="6" w:space="0" w:color="auto"/>
              <w:bottom w:val="single" w:sz="6" w:space="0" w:color="auto"/>
              <w:right w:val="single" w:sz="6" w:space="0" w:color="auto"/>
            </w:tcBorders>
          </w:tcPr>
          <w:p w:rsidR="00FE5AE9" w:rsidRDefault="00FE5AE9">
            <w:pPr>
              <w:widowControl w:val="0"/>
              <w:autoSpaceDE w:val="0"/>
              <w:autoSpaceDN w:val="0"/>
              <w:adjustRightInd w:val="0"/>
              <w:spacing w:after="0" w:line="240" w:lineRule="auto"/>
              <w:rPr>
                <w:rFonts w:ascii="Times New Roman CYR" w:hAnsi="Times New Roman CYR" w:cs="Times New Roman CYR"/>
                <w:sz w:val="20"/>
                <w:szCs w:val="20"/>
              </w:rPr>
            </w:pPr>
          </w:p>
        </w:tc>
        <w:tc>
          <w:tcPr>
            <w:tcW w:w="270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Экономика труда</w:t>
            </w:r>
          </w:p>
        </w:tc>
        <w:tc>
          <w:tcPr>
            <w:tcW w:w="108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заочная</w:t>
            </w:r>
          </w:p>
        </w:tc>
        <w:tc>
          <w:tcPr>
            <w:tcW w:w="108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лет</w:t>
            </w:r>
          </w:p>
        </w:tc>
        <w:tc>
          <w:tcPr>
            <w:tcW w:w="144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78 человек</w:t>
            </w:r>
          </w:p>
        </w:tc>
      </w:tr>
      <w:tr w:rsidR="00FE5AE9">
        <w:tc>
          <w:tcPr>
            <w:tcW w:w="534"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237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Представительство Национального Института им. Екатерины Великой</w:t>
            </w:r>
          </w:p>
        </w:tc>
        <w:tc>
          <w:tcPr>
            <w:tcW w:w="270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Спортивный Менеджмент</w:t>
            </w:r>
          </w:p>
        </w:tc>
        <w:tc>
          <w:tcPr>
            <w:tcW w:w="108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заочная БакалаврМагистр</w:t>
            </w:r>
          </w:p>
        </w:tc>
        <w:tc>
          <w:tcPr>
            <w:tcW w:w="108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 лет</w:t>
            </w:r>
          </w:p>
        </w:tc>
        <w:tc>
          <w:tcPr>
            <w:tcW w:w="144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 человек</w:t>
            </w:r>
          </w:p>
        </w:tc>
      </w:tr>
      <w:tr w:rsidR="00FE5AE9">
        <w:tc>
          <w:tcPr>
            <w:tcW w:w="534" w:type="dxa"/>
            <w:tcBorders>
              <w:top w:val="single" w:sz="6" w:space="0" w:color="auto"/>
              <w:left w:val="single" w:sz="6" w:space="0" w:color="auto"/>
              <w:bottom w:val="single" w:sz="6" w:space="0" w:color="auto"/>
              <w:right w:val="single" w:sz="6" w:space="0" w:color="auto"/>
            </w:tcBorders>
          </w:tcPr>
          <w:p w:rsidR="00FE5AE9" w:rsidRDefault="00FE5AE9">
            <w:pPr>
              <w:widowControl w:val="0"/>
              <w:autoSpaceDE w:val="0"/>
              <w:autoSpaceDN w:val="0"/>
              <w:adjustRightInd w:val="0"/>
              <w:spacing w:after="0" w:line="240" w:lineRule="auto"/>
              <w:rPr>
                <w:rFonts w:ascii="Times New Roman CYR" w:hAnsi="Times New Roman CYR" w:cs="Times New Roman CYR"/>
                <w:sz w:val="20"/>
                <w:szCs w:val="20"/>
              </w:rPr>
            </w:pPr>
          </w:p>
        </w:tc>
        <w:tc>
          <w:tcPr>
            <w:tcW w:w="2370" w:type="dxa"/>
            <w:tcBorders>
              <w:top w:val="single" w:sz="6" w:space="0" w:color="auto"/>
              <w:left w:val="single" w:sz="6" w:space="0" w:color="auto"/>
              <w:bottom w:val="single" w:sz="6" w:space="0" w:color="auto"/>
              <w:right w:val="single" w:sz="6" w:space="0" w:color="auto"/>
            </w:tcBorders>
          </w:tcPr>
          <w:p w:rsidR="00FE5AE9" w:rsidRDefault="00FE5AE9">
            <w:pPr>
              <w:widowControl w:val="0"/>
              <w:autoSpaceDE w:val="0"/>
              <w:autoSpaceDN w:val="0"/>
              <w:adjustRightInd w:val="0"/>
              <w:spacing w:after="0" w:line="240" w:lineRule="auto"/>
              <w:rPr>
                <w:rFonts w:ascii="Times New Roman CYR" w:hAnsi="Times New Roman CYR" w:cs="Times New Roman CYR"/>
                <w:sz w:val="20"/>
                <w:szCs w:val="20"/>
              </w:rPr>
            </w:pPr>
          </w:p>
        </w:tc>
        <w:tc>
          <w:tcPr>
            <w:tcW w:w="2700" w:type="dxa"/>
            <w:tcBorders>
              <w:top w:val="single" w:sz="6" w:space="0" w:color="auto"/>
              <w:left w:val="single" w:sz="6" w:space="0" w:color="auto"/>
              <w:bottom w:val="single" w:sz="6" w:space="0" w:color="auto"/>
              <w:right w:val="single" w:sz="6" w:space="0" w:color="auto"/>
            </w:tcBorders>
          </w:tcPr>
          <w:p w:rsidR="00FE5AE9" w:rsidRDefault="00FE5AE9">
            <w:pPr>
              <w:widowControl w:val="0"/>
              <w:autoSpaceDE w:val="0"/>
              <w:autoSpaceDN w:val="0"/>
              <w:adjustRightInd w:val="0"/>
              <w:spacing w:after="0" w:line="240" w:lineRule="auto"/>
              <w:rPr>
                <w:rFonts w:ascii="Times New Roman CYR" w:hAnsi="Times New Roman CYR" w:cs="Times New Roman CYR"/>
                <w:sz w:val="20"/>
                <w:szCs w:val="20"/>
              </w:rPr>
            </w:pPr>
          </w:p>
        </w:tc>
        <w:tc>
          <w:tcPr>
            <w:tcW w:w="1080" w:type="dxa"/>
            <w:tcBorders>
              <w:top w:val="single" w:sz="6" w:space="0" w:color="auto"/>
              <w:left w:val="single" w:sz="6" w:space="0" w:color="auto"/>
              <w:bottom w:val="single" w:sz="6" w:space="0" w:color="auto"/>
              <w:right w:val="single" w:sz="6" w:space="0" w:color="auto"/>
            </w:tcBorders>
          </w:tcPr>
          <w:p w:rsidR="00FE5AE9" w:rsidRDefault="00FE5AE9">
            <w:pPr>
              <w:widowControl w:val="0"/>
              <w:autoSpaceDE w:val="0"/>
              <w:autoSpaceDN w:val="0"/>
              <w:adjustRightInd w:val="0"/>
              <w:spacing w:after="0" w:line="240" w:lineRule="auto"/>
              <w:rPr>
                <w:rFonts w:ascii="Times New Roman CYR" w:hAnsi="Times New Roman CYR" w:cs="Times New Roman CYR"/>
                <w:sz w:val="20"/>
                <w:szCs w:val="20"/>
              </w:rPr>
            </w:pPr>
          </w:p>
        </w:tc>
        <w:tc>
          <w:tcPr>
            <w:tcW w:w="108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 лет</w:t>
            </w:r>
          </w:p>
        </w:tc>
        <w:tc>
          <w:tcPr>
            <w:tcW w:w="144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 человек</w:t>
            </w:r>
          </w:p>
        </w:tc>
      </w:tr>
      <w:tr w:rsidR="00FE5AE9">
        <w:tc>
          <w:tcPr>
            <w:tcW w:w="534"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237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Представительство Московской Финансово-Юридической Академии</w:t>
            </w:r>
          </w:p>
        </w:tc>
        <w:tc>
          <w:tcPr>
            <w:tcW w:w="270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Менеджмент Организации</w:t>
            </w:r>
          </w:p>
        </w:tc>
        <w:tc>
          <w:tcPr>
            <w:tcW w:w="108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заочная</w:t>
            </w:r>
          </w:p>
        </w:tc>
        <w:tc>
          <w:tcPr>
            <w:tcW w:w="108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лет</w:t>
            </w:r>
          </w:p>
        </w:tc>
        <w:tc>
          <w:tcPr>
            <w:tcW w:w="144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78 человек</w:t>
            </w:r>
          </w:p>
        </w:tc>
      </w:tr>
      <w:tr w:rsidR="00FE5AE9">
        <w:tc>
          <w:tcPr>
            <w:tcW w:w="534" w:type="dxa"/>
            <w:tcBorders>
              <w:top w:val="single" w:sz="6" w:space="0" w:color="auto"/>
              <w:left w:val="single" w:sz="6" w:space="0" w:color="auto"/>
              <w:bottom w:val="single" w:sz="6" w:space="0" w:color="auto"/>
              <w:right w:val="single" w:sz="6" w:space="0" w:color="auto"/>
            </w:tcBorders>
          </w:tcPr>
          <w:p w:rsidR="00FE5AE9" w:rsidRDefault="00FE5AE9">
            <w:pPr>
              <w:widowControl w:val="0"/>
              <w:autoSpaceDE w:val="0"/>
              <w:autoSpaceDN w:val="0"/>
              <w:adjustRightInd w:val="0"/>
              <w:spacing w:after="0" w:line="240" w:lineRule="auto"/>
              <w:rPr>
                <w:rFonts w:ascii="Times New Roman CYR" w:hAnsi="Times New Roman CYR" w:cs="Times New Roman CYR"/>
                <w:sz w:val="20"/>
                <w:szCs w:val="20"/>
              </w:rPr>
            </w:pPr>
          </w:p>
        </w:tc>
        <w:tc>
          <w:tcPr>
            <w:tcW w:w="2370" w:type="dxa"/>
            <w:tcBorders>
              <w:top w:val="single" w:sz="6" w:space="0" w:color="auto"/>
              <w:left w:val="single" w:sz="6" w:space="0" w:color="auto"/>
              <w:bottom w:val="single" w:sz="6" w:space="0" w:color="auto"/>
              <w:right w:val="single" w:sz="6" w:space="0" w:color="auto"/>
            </w:tcBorders>
          </w:tcPr>
          <w:p w:rsidR="00FE5AE9" w:rsidRDefault="00FE5AE9">
            <w:pPr>
              <w:widowControl w:val="0"/>
              <w:autoSpaceDE w:val="0"/>
              <w:autoSpaceDN w:val="0"/>
              <w:adjustRightInd w:val="0"/>
              <w:spacing w:after="0" w:line="240" w:lineRule="auto"/>
              <w:rPr>
                <w:rFonts w:ascii="Times New Roman CYR" w:hAnsi="Times New Roman CYR" w:cs="Times New Roman CYR"/>
                <w:sz w:val="20"/>
                <w:szCs w:val="20"/>
              </w:rPr>
            </w:pPr>
          </w:p>
        </w:tc>
        <w:tc>
          <w:tcPr>
            <w:tcW w:w="270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Государственное и Муниципальное Управление</w:t>
            </w:r>
          </w:p>
        </w:tc>
        <w:tc>
          <w:tcPr>
            <w:tcW w:w="108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заочная</w:t>
            </w:r>
          </w:p>
        </w:tc>
        <w:tc>
          <w:tcPr>
            <w:tcW w:w="108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лет</w:t>
            </w:r>
          </w:p>
        </w:tc>
        <w:tc>
          <w:tcPr>
            <w:tcW w:w="144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117 человек</w:t>
            </w:r>
          </w:p>
        </w:tc>
      </w:tr>
      <w:tr w:rsidR="00FE5AE9">
        <w:tc>
          <w:tcPr>
            <w:tcW w:w="534" w:type="dxa"/>
            <w:tcBorders>
              <w:top w:val="single" w:sz="6" w:space="0" w:color="auto"/>
              <w:left w:val="single" w:sz="6" w:space="0" w:color="auto"/>
              <w:bottom w:val="single" w:sz="6" w:space="0" w:color="auto"/>
              <w:right w:val="single" w:sz="6" w:space="0" w:color="auto"/>
            </w:tcBorders>
          </w:tcPr>
          <w:p w:rsidR="00FE5AE9" w:rsidRDefault="00FE5AE9">
            <w:pPr>
              <w:widowControl w:val="0"/>
              <w:autoSpaceDE w:val="0"/>
              <w:autoSpaceDN w:val="0"/>
              <w:adjustRightInd w:val="0"/>
              <w:spacing w:after="0" w:line="240" w:lineRule="auto"/>
              <w:rPr>
                <w:rFonts w:ascii="Times New Roman CYR" w:hAnsi="Times New Roman CYR" w:cs="Times New Roman CYR"/>
                <w:sz w:val="20"/>
                <w:szCs w:val="20"/>
              </w:rPr>
            </w:pPr>
          </w:p>
        </w:tc>
        <w:tc>
          <w:tcPr>
            <w:tcW w:w="2370" w:type="dxa"/>
            <w:tcBorders>
              <w:top w:val="single" w:sz="6" w:space="0" w:color="auto"/>
              <w:left w:val="single" w:sz="6" w:space="0" w:color="auto"/>
              <w:bottom w:val="single" w:sz="6" w:space="0" w:color="auto"/>
              <w:right w:val="single" w:sz="6" w:space="0" w:color="auto"/>
            </w:tcBorders>
          </w:tcPr>
          <w:p w:rsidR="00FE5AE9" w:rsidRDefault="00FE5AE9">
            <w:pPr>
              <w:widowControl w:val="0"/>
              <w:autoSpaceDE w:val="0"/>
              <w:autoSpaceDN w:val="0"/>
              <w:adjustRightInd w:val="0"/>
              <w:spacing w:after="0" w:line="240" w:lineRule="auto"/>
              <w:rPr>
                <w:rFonts w:ascii="Times New Roman CYR" w:hAnsi="Times New Roman CYR" w:cs="Times New Roman CYR"/>
                <w:sz w:val="20"/>
                <w:szCs w:val="20"/>
              </w:rPr>
            </w:pPr>
          </w:p>
        </w:tc>
        <w:tc>
          <w:tcPr>
            <w:tcW w:w="270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Антикризисное Управление</w:t>
            </w:r>
          </w:p>
        </w:tc>
        <w:tc>
          <w:tcPr>
            <w:tcW w:w="108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заочная</w:t>
            </w:r>
          </w:p>
        </w:tc>
        <w:tc>
          <w:tcPr>
            <w:tcW w:w="108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лет</w:t>
            </w:r>
          </w:p>
        </w:tc>
        <w:tc>
          <w:tcPr>
            <w:tcW w:w="144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 человек</w:t>
            </w:r>
          </w:p>
        </w:tc>
      </w:tr>
      <w:tr w:rsidR="00FE5AE9">
        <w:tc>
          <w:tcPr>
            <w:tcW w:w="534" w:type="dxa"/>
            <w:tcBorders>
              <w:top w:val="single" w:sz="6" w:space="0" w:color="auto"/>
              <w:left w:val="single" w:sz="6" w:space="0" w:color="auto"/>
              <w:bottom w:val="single" w:sz="6" w:space="0" w:color="auto"/>
              <w:right w:val="single" w:sz="6" w:space="0" w:color="auto"/>
            </w:tcBorders>
          </w:tcPr>
          <w:p w:rsidR="00FE5AE9" w:rsidRDefault="00FE5AE9">
            <w:pPr>
              <w:widowControl w:val="0"/>
              <w:autoSpaceDE w:val="0"/>
              <w:autoSpaceDN w:val="0"/>
              <w:adjustRightInd w:val="0"/>
              <w:spacing w:after="0" w:line="240" w:lineRule="auto"/>
              <w:rPr>
                <w:rFonts w:ascii="Times New Roman CYR" w:hAnsi="Times New Roman CYR" w:cs="Times New Roman CYR"/>
                <w:sz w:val="20"/>
                <w:szCs w:val="20"/>
              </w:rPr>
            </w:pPr>
          </w:p>
        </w:tc>
        <w:tc>
          <w:tcPr>
            <w:tcW w:w="2370" w:type="dxa"/>
            <w:tcBorders>
              <w:top w:val="single" w:sz="6" w:space="0" w:color="auto"/>
              <w:left w:val="single" w:sz="6" w:space="0" w:color="auto"/>
              <w:bottom w:val="single" w:sz="6" w:space="0" w:color="auto"/>
              <w:right w:val="single" w:sz="6" w:space="0" w:color="auto"/>
            </w:tcBorders>
          </w:tcPr>
          <w:p w:rsidR="00FE5AE9" w:rsidRDefault="00FE5AE9">
            <w:pPr>
              <w:widowControl w:val="0"/>
              <w:autoSpaceDE w:val="0"/>
              <w:autoSpaceDN w:val="0"/>
              <w:adjustRightInd w:val="0"/>
              <w:spacing w:after="0" w:line="240" w:lineRule="auto"/>
              <w:rPr>
                <w:rFonts w:ascii="Times New Roman CYR" w:hAnsi="Times New Roman CYR" w:cs="Times New Roman CYR"/>
                <w:sz w:val="20"/>
                <w:szCs w:val="20"/>
              </w:rPr>
            </w:pPr>
          </w:p>
        </w:tc>
        <w:tc>
          <w:tcPr>
            <w:tcW w:w="270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Налоги и Налогообложение</w:t>
            </w:r>
          </w:p>
        </w:tc>
        <w:tc>
          <w:tcPr>
            <w:tcW w:w="108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заочная</w:t>
            </w:r>
          </w:p>
        </w:tc>
        <w:tc>
          <w:tcPr>
            <w:tcW w:w="108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лет</w:t>
            </w:r>
          </w:p>
        </w:tc>
        <w:tc>
          <w:tcPr>
            <w:tcW w:w="144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124 человека</w:t>
            </w:r>
          </w:p>
        </w:tc>
      </w:tr>
      <w:tr w:rsidR="00FE5AE9">
        <w:tc>
          <w:tcPr>
            <w:tcW w:w="534" w:type="dxa"/>
            <w:tcBorders>
              <w:top w:val="single" w:sz="6" w:space="0" w:color="auto"/>
              <w:left w:val="single" w:sz="6" w:space="0" w:color="auto"/>
              <w:bottom w:val="single" w:sz="6" w:space="0" w:color="auto"/>
              <w:right w:val="single" w:sz="6" w:space="0" w:color="auto"/>
            </w:tcBorders>
          </w:tcPr>
          <w:p w:rsidR="00FE5AE9" w:rsidRDefault="00FE5AE9">
            <w:pPr>
              <w:widowControl w:val="0"/>
              <w:autoSpaceDE w:val="0"/>
              <w:autoSpaceDN w:val="0"/>
              <w:adjustRightInd w:val="0"/>
              <w:spacing w:after="0" w:line="240" w:lineRule="auto"/>
              <w:rPr>
                <w:rFonts w:ascii="Times New Roman CYR" w:hAnsi="Times New Roman CYR" w:cs="Times New Roman CYR"/>
                <w:sz w:val="20"/>
                <w:szCs w:val="20"/>
              </w:rPr>
            </w:pPr>
          </w:p>
        </w:tc>
        <w:tc>
          <w:tcPr>
            <w:tcW w:w="2370" w:type="dxa"/>
            <w:tcBorders>
              <w:top w:val="single" w:sz="6" w:space="0" w:color="auto"/>
              <w:left w:val="single" w:sz="6" w:space="0" w:color="auto"/>
              <w:bottom w:val="single" w:sz="6" w:space="0" w:color="auto"/>
              <w:right w:val="single" w:sz="6" w:space="0" w:color="auto"/>
            </w:tcBorders>
          </w:tcPr>
          <w:p w:rsidR="00FE5AE9" w:rsidRDefault="00FE5AE9">
            <w:pPr>
              <w:widowControl w:val="0"/>
              <w:autoSpaceDE w:val="0"/>
              <w:autoSpaceDN w:val="0"/>
              <w:adjustRightInd w:val="0"/>
              <w:spacing w:after="0" w:line="240" w:lineRule="auto"/>
              <w:rPr>
                <w:rFonts w:ascii="Times New Roman CYR" w:hAnsi="Times New Roman CYR" w:cs="Times New Roman CYR"/>
                <w:sz w:val="20"/>
                <w:szCs w:val="20"/>
              </w:rPr>
            </w:pPr>
          </w:p>
        </w:tc>
        <w:tc>
          <w:tcPr>
            <w:tcW w:w="270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Международные Финанс-Кредит Отношения</w:t>
            </w:r>
          </w:p>
        </w:tc>
        <w:tc>
          <w:tcPr>
            <w:tcW w:w="108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заочная</w:t>
            </w:r>
          </w:p>
        </w:tc>
        <w:tc>
          <w:tcPr>
            <w:tcW w:w="108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лет</w:t>
            </w:r>
          </w:p>
        </w:tc>
        <w:tc>
          <w:tcPr>
            <w:tcW w:w="144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89 человек</w:t>
            </w:r>
          </w:p>
        </w:tc>
      </w:tr>
      <w:tr w:rsidR="00FE5AE9">
        <w:tc>
          <w:tcPr>
            <w:tcW w:w="534" w:type="dxa"/>
            <w:tcBorders>
              <w:top w:val="single" w:sz="6" w:space="0" w:color="auto"/>
              <w:left w:val="single" w:sz="6" w:space="0" w:color="auto"/>
              <w:bottom w:val="single" w:sz="6" w:space="0" w:color="auto"/>
              <w:right w:val="single" w:sz="6" w:space="0" w:color="auto"/>
            </w:tcBorders>
          </w:tcPr>
          <w:p w:rsidR="00FE5AE9" w:rsidRDefault="00FE5AE9">
            <w:pPr>
              <w:widowControl w:val="0"/>
              <w:autoSpaceDE w:val="0"/>
              <w:autoSpaceDN w:val="0"/>
              <w:adjustRightInd w:val="0"/>
              <w:spacing w:after="0" w:line="240" w:lineRule="auto"/>
              <w:rPr>
                <w:rFonts w:ascii="Times New Roman CYR" w:hAnsi="Times New Roman CYR" w:cs="Times New Roman CYR"/>
                <w:sz w:val="20"/>
                <w:szCs w:val="20"/>
              </w:rPr>
            </w:pPr>
          </w:p>
        </w:tc>
        <w:tc>
          <w:tcPr>
            <w:tcW w:w="2370" w:type="dxa"/>
            <w:tcBorders>
              <w:top w:val="single" w:sz="6" w:space="0" w:color="auto"/>
              <w:left w:val="single" w:sz="6" w:space="0" w:color="auto"/>
              <w:bottom w:val="single" w:sz="6" w:space="0" w:color="auto"/>
              <w:right w:val="single" w:sz="6" w:space="0" w:color="auto"/>
            </w:tcBorders>
          </w:tcPr>
          <w:p w:rsidR="00FE5AE9" w:rsidRDefault="00FE5AE9">
            <w:pPr>
              <w:widowControl w:val="0"/>
              <w:autoSpaceDE w:val="0"/>
              <w:autoSpaceDN w:val="0"/>
              <w:adjustRightInd w:val="0"/>
              <w:spacing w:after="0" w:line="240" w:lineRule="auto"/>
              <w:rPr>
                <w:rFonts w:ascii="Times New Roman CYR" w:hAnsi="Times New Roman CYR" w:cs="Times New Roman CYR"/>
                <w:sz w:val="20"/>
                <w:szCs w:val="20"/>
              </w:rPr>
            </w:pPr>
          </w:p>
        </w:tc>
        <w:tc>
          <w:tcPr>
            <w:tcW w:w="270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Юриспруденция</w:t>
            </w:r>
          </w:p>
        </w:tc>
        <w:tc>
          <w:tcPr>
            <w:tcW w:w="108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заочная</w:t>
            </w:r>
          </w:p>
        </w:tc>
        <w:tc>
          <w:tcPr>
            <w:tcW w:w="108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лет</w:t>
            </w:r>
          </w:p>
        </w:tc>
        <w:tc>
          <w:tcPr>
            <w:tcW w:w="144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116 человек</w:t>
            </w:r>
          </w:p>
        </w:tc>
      </w:tr>
      <w:tr w:rsidR="00FE5AE9">
        <w:tc>
          <w:tcPr>
            <w:tcW w:w="534" w:type="dxa"/>
            <w:tcBorders>
              <w:top w:val="single" w:sz="6" w:space="0" w:color="auto"/>
              <w:left w:val="single" w:sz="6" w:space="0" w:color="auto"/>
              <w:bottom w:val="single" w:sz="6" w:space="0" w:color="auto"/>
              <w:right w:val="single" w:sz="6" w:space="0" w:color="auto"/>
            </w:tcBorders>
          </w:tcPr>
          <w:p w:rsidR="00FE5AE9" w:rsidRDefault="00FE5AE9">
            <w:pPr>
              <w:widowControl w:val="0"/>
              <w:autoSpaceDE w:val="0"/>
              <w:autoSpaceDN w:val="0"/>
              <w:adjustRightInd w:val="0"/>
              <w:spacing w:after="0" w:line="240" w:lineRule="auto"/>
              <w:rPr>
                <w:rFonts w:ascii="Times New Roman CYR" w:hAnsi="Times New Roman CYR" w:cs="Times New Roman CYR"/>
                <w:sz w:val="20"/>
                <w:szCs w:val="20"/>
              </w:rPr>
            </w:pPr>
          </w:p>
        </w:tc>
        <w:tc>
          <w:tcPr>
            <w:tcW w:w="2370" w:type="dxa"/>
            <w:tcBorders>
              <w:top w:val="single" w:sz="6" w:space="0" w:color="auto"/>
              <w:left w:val="single" w:sz="6" w:space="0" w:color="auto"/>
              <w:bottom w:val="single" w:sz="6" w:space="0" w:color="auto"/>
              <w:right w:val="single" w:sz="6" w:space="0" w:color="auto"/>
            </w:tcBorders>
          </w:tcPr>
          <w:p w:rsidR="00FE5AE9" w:rsidRDefault="00FE5AE9">
            <w:pPr>
              <w:widowControl w:val="0"/>
              <w:autoSpaceDE w:val="0"/>
              <w:autoSpaceDN w:val="0"/>
              <w:adjustRightInd w:val="0"/>
              <w:spacing w:after="0" w:line="240" w:lineRule="auto"/>
              <w:rPr>
                <w:rFonts w:ascii="Times New Roman CYR" w:hAnsi="Times New Roman CYR" w:cs="Times New Roman CYR"/>
                <w:sz w:val="20"/>
                <w:szCs w:val="20"/>
              </w:rPr>
            </w:pPr>
          </w:p>
        </w:tc>
        <w:tc>
          <w:tcPr>
            <w:tcW w:w="270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Бухгалтерский Учет</w:t>
            </w:r>
          </w:p>
        </w:tc>
        <w:tc>
          <w:tcPr>
            <w:tcW w:w="108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заочная</w:t>
            </w:r>
          </w:p>
        </w:tc>
        <w:tc>
          <w:tcPr>
            <w:tcW w:w="108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лет</w:t>
            </w:r>
          </w:p>
        </w:tc>
        <w:tc>
          <w:tcPr>
            <w:tcW w:w="144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 человек</w:t>
            </w:r>
          </w:p>
        </w:tc>
      </w:tr>
      <w:tr w:rsidR="00FE5AE9">
        <w:tc>
          <w:tcPr>
            <w:tcW w:w="534" w:type="dxa"/>
            <w:tcBorders>
              <w:top w:val="single" w:sz="6" w:space="0" w:color="auto"/>
              <w:left w:val="single" w:sz="6" w:space="0" w:color="auto"/>
              <w:bottom w:val="single" w:sz="6" w:space="0" w:color="auto"/>
              <w:right w:val="single" w:sz="6" w:space="0" w:color="auto"/>
            </w:tcBorders>
          </w:tcPr>
          <w:p w:rsidR="00FE5AE9" w:rsidRDefault="00FE5AE9">
            <w:pPr>
              <w:widowControl w:val="0"/>
              <w:autoSpaceDE w:val="0"/>
              <w:autoSpaceDN w:val="0"/>
              <w:adjustRightInd w:val="0"/>
              <w:spacing w:after="0" w:line="240" w:lineRule="auto"/>
              <w:rPr>
                <w:rFonts w:ascii="Times New Roman CYR" w:hAnsi="Times New Roman CYR" w:cs="Times New Roman CYR"/>
                <w:sz w:val="20"/>
                <w:szCs w:val="20"/>
              </w:rPr>
            </w:pPr>
          </w:p>
        </w:tc>
        <w:tc>
          <w:tcPr>
            <w:tcW w:w="2370" w:type="dxa"/>
            <w:tcBorders>
              <w:top w:val="single" w:sz="6" w:space="0" w:color="auto"/>
              <w:left w:val="single" w:sz="6" w:space="0" w:color="auto"/>
              <w:bottom w:val="single" w:sz="6" w:space="0" w:color="auto"/>
              <w:right w:val="single" w:sz="6" w:space="0" w:color="auto"/>
            </w:tcBorders>
          </w:tcPr>
          <w:p w:rsidR="00FE5AE9" w:rsidRDefault="00FE5AE9">
            <w:pPr>
              <w:widowControl w:val="0"/>
              <w:autoSpaceDE w:val="0"/>
              <w:autoSpaceDN w:val="0"/>
              <w:adjustRightInd w:val="0"/>
              <w:spacing w:after="0" w:line="240" w:lineRule="auto"/>
              <w:rPr>
                <w:rFonts w:ascii="Times New Roman CYR" w:hAnsi="Times New Roman CYR" w:cs="Times New Roman CYR"/>
                <w:sz w:val="20"/>
                <w:szCs w:val="20"/>
              </w:rPr>
            </w:pPr>
          </w:p>
        </w:tc>
        <w:tc>
          <w:tcPr>
            <w:tcW w:w="270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Анализ и Аудит</w:t>
            </w:r>
          </w:p>
        </w:tc>
        <w:tc>
          <w:tcPr>
            <w:tcW w:w="108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заочная</w:t>
            </w:r>
          </w:p>
        </w:tc>
        <w:tc>
          <w:tcPr>
            <w:tcW w:w="108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лет</w:t>
            </w:r>
          </w:p>
        </w:tc>
        <w:tc>
          <w:tcPr>
            <w:tcW w:w="144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 человека</w:t>
            </w:r>
          </w:p>
        </w:tc>
      </w:tr>
    </w:tbl>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данных таблицы 22 показал, что высшее образование на территории Чеховского района представлено как государственными учреждениями, так и филиалами ведущих вузов страны, негосударственными высшими учреждениями образования. В городе и районе существует множество </w:t>
      </w:r>
      <w:r>
        <w:rPr>
          <w:rFonts w:ascii="Times New Roman CYR" w:hAnsi="Times New Roman CYR" w:cs="Times New Roman CYR"/>
          <w:sz w:val="28"/>
          <w:szCs w:val="28"/>
        </w:rPr>
        <w:lastRenderedPageBreak/>
        <w:t>филиалов вузов, что, несомненно, является положительным моментом. Это значит, что подрастающему поколению чеховчан не приходится ездить в Москву, чтобы получать высшее образование. Увеличение количества филиалов и представительств приводит к повышению конкуренции на рынке услуг высшего образования, а значит повышается качество и снижается стоимость обучения на платных отделениях.</w:t>
      </w:r>
    </w:p>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tabs>
          <w:tab w:val="left" w:pos="0"/>
        </w:tabs>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2.5 Анализ кадрового обеспечения учреждений образования</w:t>
      </w:r>
    </w:p>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учреждениях общего образования Чеховского района работает 1297, из них высшее образование имеют 589 человек (45,4 %); средне - специальное образование- 440 человек (34 %); не имеют педагогического образования - 268 учителей (20,6%) (Таблица 24). 24 учителя в настоящее время обучаются заочно. По результатам аттестации 89 педагогов имеют высшую категорию, 481 - I категорию и 790 - II квалификационную категорию (Таблица 25). 111 человек награждены значком "Отличник народного просвещения" и знаком "Почетный работник общего образования РФ", 6 работников образования имеют почетное звание "Заслуженный учитель школ РФ".</w:t>
      </w:r>
    </w:p>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23 Численность учителей дневных общеобразовательных школ в 2003- 2010 г., человек</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76"/>
        <w:gridCol w:w="1464"/>
        <w:gridCol w:w="1414"/>
        <w:gridCol w:w="1052"/>
        <w:gridCol w:w="1414"/>
        <w:gridCol w:w="1052"/>
      </w:tblGrid>
      <w:tr w:rsidR="00FE5AE9">
        <w:tc>
          <w:tcPr>
            <w:tcW w:w="2376"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464"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2003/2008 уч.г.</w:t>
            </w:r>
          </w:p>
        </w:tc>
        <w:tc>
          <w:tcPr>
            <w:tcW w:w="1414"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2008/2009 уч.г.</w:t>
            </w:r>
          </w:p>
        </w:tc>
        <w:tc>
          <w:tcPr>
            <w:tcW w:w="105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2009г к 2008г, %</w:t>
            </w:r>
          </w:p>
        </w:tc>
        <w:tc>
          <w:tcPr>
            <w:tcW w:w="1414"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2009/2010 уч.г.</w:t>
            </w:r>
          </w:p>
        </w:tc>
        <w:tc>
          <w:tcPr>
            <w:tcW w:w="105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2010г к 2009г, %</w:t>
            </w:r>
          </w:p>
        </w:tc>
      </w:tr>
      <w:tr w:rsidR="00FE5AE9">
        <w:tc>
          <w:tcPr>
            <w:tcW w:w="2376"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 области в целом</w:t>
            </w:r>
          </w:p>
        </w:tc>
        <w:tc>
          <w:tcPr>
            <w:tcW w:w="1464"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54068</w:t>
            </w:r>
          </w:p>
        </w:tc>
        <w:tc>
          <w:tcPr>
            <w:tcW w:w="1414"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52471</w:t>
            </w:r>
          </w:p>
        </w:tc>
        <w:tc>
          <w:tcPr>
            <w:tcW w:w="105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w:t>
            </w:r>
          </w:p>
        </w:tc>
        <w:tc>
          <w:tcPr>
            <w:tcW w:w="1414"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52021</w:t>
            </w:r>
          </w:p>
        </w:tc>
        <w:tc>
          <w:tcPr>
            <w:tcW w:w="105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99,2</w:t>
            </w:r>
          </w:p>
        </w:tc>
      </w:tr>
      <w:tr w:rsidR="00FE5AE9">
        <w:tc>
          <w:tcPr>
            <w:tcW w:w="2376"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 Чеховскому району</w:t>
            </w:r>
          </w:p>
        </w:tc>
        <w:tc>
          <w:tcPr>
            <w:tcW w:w="1464"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946</w:t>
            </w:r>
          </w:p>
        </w:tc>
        <w:tc>
          <w:tcPr>
            <w:tcW w:w="1414"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920</w:t>
            </w:r>
          </w:p>
        </w:tc>
        <w:tc>
          <w:tcPr>
            <w:tcW w:w="105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97,3</w:t>
            </w:r>
          </w:p>
        </w:tc>
        <w:tc>
          <w:tcPr>
            <w:tcW w:w="1414"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933</w:t>
            </w:r>
          </w:p>
        </w:tc>
        <w:tc>
          <w:tcPr>
            <w:tcW w:w="105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101,4</w:t>
            </w:r>
          </w:p>
        </w:tc>
      </w:tr>
    </w:tbl>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численности учителей дневных общеобразовательных школ выявил общее количество уменьшения педагогических кадров. Данная проблема </w:t>
      </w:r>
      <w:r>
        <w:rPr>
          <w:rFonts w:ascii="Times New Roman CYR" w:hAnsi="Times New Roman CYR" w:cs="Times New Roman CYR"/>
          <w:sz w:val="28"/>
          <w:szCs w:val="28"/>
        </w:rPr>
        <w:lastRenderedPageBreak/>
        <w:t>становится особенно актуальной в последние годы, когда уровень заработной платы в других отраслях значительно выше заработной платы в системе образования. Особенно заметет отток кадров педагогов с высшим образование. В 2010 г. количество таких специалистов сократилось на 47 человек. Численность педагогов со средне- специальным образованием уменьшился на 19 человек, со средним- на 26 специалистов.</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уровень образования, квалификации и возрастного потенциала педагогических работников системы образования. Сравнительный анализ уровня образования педагогических работников Чеховского района представлен в Таблице 24.</w:t>
      </w:r>
    </w:p>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24 Уровень образования педагогических работников системы образования Чеховского района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10"/>
        <w:gridCol w:w="1426"/>
        <w:gridCol w:w="1248"/>
        <w:gridCol w:w="1586"/>
        <w:gridCol w:w="1382"/>
      </w:tblGrid>
      <w:tr w:rsidR="00FE5AE9">
        <w:tc>
          <w:tcPr>
            <w:tcW w:w="3510" w:type="dxa"/>
            <w:tcBorders>
              <w:top w:val="single" w:sz="6" w:space="0" w:color="auto"/>
              <w:left w:val="single" w:sz="6" w:space="0" w:color="auto"/>
              <w:bottom w:val="single" w:sz="6" w:space="0" w:color="auto"/>
              <w:right w:val="single" w:sz="6" w:space="0" w:color="auto"/>
            </w:tcBorders>
          </w:tcPr>
          <w:p w:rsidR="00FE5AE9" w:rsidRDefault="00FE5AE9">
            <w:pPr>
              <w:widowControl w:val="0"/>
              <w:autoSpaceDE w:val="0"/>
              <w:autoSpaceDN w:val="0"/>
              <w:adjustRightInd w:val="0"/>
              <w:spacing w:after="0" w:line="240" w:lineRule="auto"/>
              <w:rPr>
                <w:rFonts w:ascii="Times New Roman CYR" w:hAnsi="Times New Roman CYR" w:cs="Times New Roman CYR"/>
                <w:sz w:val="20"/>
                <w:szCs w:val="20"/>
              </w:rPr>
            </w:pPr>
          </w:p>
        </w:tc>
        <w:tc>
          <w:tcPr>
            <w:tcW w:w="1426"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 год</w:t>
            </w:r>
          </w:p>
        </w:tc>
        <w:tc>
          <w:tcPr>
            <w:tcW w:w="1248"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 год</w:t>
            </w:r>
          </w:p>
        </w:tc>
        <w:tc>
          <w:tcPr>
            <w:tcW w:w="1586"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 год</w:t>
            </w:r>
          </w:p>
        </w:tc>
        <w:tc>
          <w:tcPr>
            <w:tcW w:w="138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изменения</w:t>
            </w:r>
          </w:p>
        </w:tc>
      </w:tr>
      <w:tr w:rsidR="00FE5AE9">
        <w:tc>
          <w:tcPr>
            <w:tcW w:w="351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Педагогов (Всего)</w:t>
            </w:r>
          </w:p>
        </w:tc>
        <w:tc>
          <w:tcPr>
            <w:tcW w:w="1426"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1387</w:t>
            </w:r>
          </w:p>
        </w:tc>
        <w:tc>
          <w:tcPr>
            <w:tcW w:w="1248"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1389</w:t>
            </w:r>
          </w:p>
        </w:tc>
        <w:tc>
          <w:tcPr>
            <w:tcW w:w="1586"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1297</w:t>
            </w:r>
          </w:p>
        </w:tc>
        <w:tc>
          <w:tcPr>
            <w:tcW w:w="138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93,4</w:t>
            </w:r>
          </w:p>
        </w:tc>
      </w:tr>
      <w:tr w:rsidR="00FE5AE9">
        <w:tc>
          <w:tcPr>
            <w:tcW w:w="351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Имеющие высшее педагогическое образование</w:t>
            </w:r>
          </w:p>
        </w:tc>
        <w:tc>
          <w:tcPr>
            <w:tcW w:w="1426"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635</w:t>
            </w:r>
          </w:p>
        </w:tc>
        <w:tc>
          <w:tcPr>
            <w:tcW w:w="1248"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636</w:t>
            </w:r>
          </w:p>
        </w:tc>
        <w:tc>
          <w:tcPr>
            <w:tcW w:w="1586"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589 (45,4%)</w:t>
            </w:r>
          </w:p>
        </w:tc>
        <w:tc>
          <w:tcPr>
            <w:tcW w:w="138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92,6</w:t>
            </w:r>
          </w:p>
        </w:tc>
      </w:tr>
      <w:tr w:rsidR="00FE5AE9">
        <w:tc>
          <w:tcPr>
            <w:tcW w:w="351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Имеющие средне -специальное образование</w:t>
            </w:r>
          </w:p>
        </w:tc>
        <w:tc>
          <w:tcPr>
            <w:tcW w:w="1426"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459</w:t>
            </w:r>
          </w:p>
        </w:tc>
        <w:tc>
          <w:tcPr>
            <w:tcW w:w="1248"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459</w:t>
            </w:r>
          </w:p>
        </w:tc>
        <w:tc>
          <w:tcPr>
            <w:tcW w:w="1586"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440 (34%)</w:t>
            </w:r>
          </w:p>
        </w:tc>
        <w:tc>
          <w:tcPr>
            <w:tcW w:w="138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96</w:t>
            </w:r>
          </w:p>
        </w:tc>
      </w:tr>
      <w:tr w:rsidR="00FE5AE9">
        <w:tc>
          <w:tcPr>
            <w:tcW w:w="351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 имеющие педагогического образования</w:t>
            </w:r>
          </w:p>
        </w:tc>
        <w:tc>
          <w:tcPr>
            <w:tcW w:w="1426"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293</w:t>
            </w:r>
          </w:p>
        </w:tc>
        <w:tc>
          <w:tcPr>
            <w:tcW w:w="1248"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294</w:t>
            </w:r>
          </w:p>
        </w:tc>
        <w:tc>
          <w:tcPr>
            <w:tcW w:w="1586"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268 (20,6%)</w:t>
            </w:r>
          </w:p>
        </w:tc>
        <w:tc>
          <w:tcPr>
            <w:tcW w:w="138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91,1</w:t>
            </w:r>
          </w:p>
        </w:tc>
      </w:tr>
    </w:tbl>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Результативность образовательного процесса обеспечивается наличием квалифицированных педагогических кадров. Уровень квалификации педагогов представлен в Таблице 25. Профессионализм педагогов города подтверждается уровнем их квалификационной категории. Большая часть педагогов города имеют вторую квалификационную категорию (790 человек), что свидетельствует о необходимости их обучения и повышения квалификации.</w:t>
      </w:r>
    </w:p>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25 Уровень квалификации педагогов</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17"/>
        <w:gridCol w:w="1440"/>
        <w:gridCol w:w="1257"/>
        <w:gridCol w:w="1449"/>
        <w:gridCol w:w="1384"/>
      </w:tblGrid>
      <w:tr w:rsidR="00FE5AE9">
        <w:tc>
          <w:tcPr>
            <w:tcW w:w="2717" w:type="dxa"/>
            <w:tcBorders>
              <w:top w:val="single" w:sz="6" w:space="0" w:color="auto"/>
              <w:left w:val="single" w:sz="6" w:space="0" w:color="auto"/>
              <w:bottom w:val="single" w:sz="6" w:space="0" w:color="auto"/>
              <w:right w:val="single" w:sz="6" w:space="0" w:color="auto"/>
            </w:tcBorders>
          </w:tcPr>
          <w:p w:rsidR="00FE5AE9" w:rsidRDefault="00FE5AE9">
            <w:pPr>
              <w:widowControl w:val="0"/>
              <w:autoSpaceDE w:val="0"/>
              <w:autoSpaceDN w:val="0"/>
              <w:adjustRightInd w:val="0"/>
              <w:spacing w:after="0" w:line="240" w:lineRule="auto"/>
              <w:rPr>
                <w:rFonts w:ascii="Times New Roman CYR" w:hAnsi="Times New Roman CYR" w:cs="Times New Roman CYR"/>
                <w:sz w:val="20"/>
                <w:szCs w:val="20"/>
              </w:rPr>
            </w:pPr>
          </w:p>
        </w:tc>
        <w:tc>
          <w:tcPr>
            <w:tcW w:w="144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 год</w:t>
            </w:r>
          </w:p>
        </w:tc>
        <w:tc>
          <w:tcPr>
            <w:tcW w:w="1257"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 год</w:t>
            </w:r>
          </w:p>
        </w:tc>
        <w:tc>
          <w:tcPr>
            <w:tcW w:w="1449"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 год</w:t>
            </w:r>
          </w:p>
        </w:tc>
        <w:tc>
          <w:tcPr>
            <w:tcW w:w="1384"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изменения</w:t>
            </w:r>
          </w:p>
        </w:tc>
      </w:tr>
      <w:tr w:rsidR="00FE5AE9">
        <w:tc>
          <w:tcPr>
            <w:tcW w:w="2717"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Педагогов (Всего)</w:t>
            </w:r>
          </w:p>
        </w:tc>
        <w:tc>
          <w:tcPr>
            <w:tcW w:w="144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1387</w:t>
            </w:r>
          </w:p>
        </w:tc>
        <w:tc>
          <w:tcPr>
            <w:tcW w:w="1257"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1389</w:t>
            </w:r>
          </w:p>
        </w:tc>
        <w:tc>
          <w:tcPr>
            <w:tcW w:w="1449"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1297</w:t>
            </w:r>
          </w:p>
        </w:tc>
        <w:tc>
          <w:tcPr>
            <w:tcW w:w="1384"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93,4</w:t>
            </w:r>
          </w:p>
        </w:tc>
      </w:tr>
      <w:tr w:rsidR="00FE5AE9">
        <w:tc>
          <w:tcPr>
            <w:tcW w:w="2717"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II квалификационная </w:t>
            </w:r>
            <w:r>
              <w:rPr>
                <w:rFonts w:ascii="Times New Roman CYR" w:hAnsi="Times New Roman CYR" w:cs="Times New Roman CYR"/>
                <w:sz w:val="20"/>
                <w:szCs w:val="20"/>
              </w:rPr>
              <w:lastRenderedPageBreak/>
              <w:t>категория</w:t>
            </w:r>
          </w:p>
        </w:tc>
        <w:tc>
          <w:tcPr>
            <w:tcW w:w="144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872</w:t>
            </w:r>
          </w:p>
        </w:tc>
        <w:tc>
          <w:tcPr>
            <w:tcW w:w="1257"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874</w:t>
            </w:r>
          </w:p>
        </w:tc>
        <w:tc>
          <w:tcPr>
            <w:tcW w:w="1449"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790 (60,9%)</w:t>
            </w:r>
          </w:p>
        </w:tc>
        <w:tc>
          <w:tcPr>
            <w:tcW w:w="1384"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90,3</w:t>
            </w:r>
          </w:p>
        </w:tc>
      </w:tr>
      <w:tr w:rsidR="00FE5AE9">
        <w:tc>
          <w:tcPr>
            <w:tcW w:w="2717"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I квалификационная категория</w:t>
            </w:r>
          </w:p>
        </w:tc>
        <w:tc>
          <w:tcPr>
            <w:tcW w:w="144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428</w:t>
            </w:r>
          </w:p>
        </w:tc>
        <w:tc>
          <w:tcPr>
            <w:tcW w:w="1257"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430</w:t>
            </w:r>
          </w:p>
        </w:tc>
        <w:tc>
          <w:tcPr>
            <w:tcW w:w="1449"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418 (32,2%)</w:t>
            </w:r>
          </w:p>
        </w:tc>
        <w:tc>
          <w:tcPr>
            <w:tcW w:w="1384"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97,2</w:t>
            </w:r>
          </w:p>
        </w:tc>
      </w:tr>
      <w:tr w:rsidR="00FE5AE9">
        <w:tc>
          <w:tcPr>
            <w:tcW w:w="2717"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Высшая квалификационная категория</w:t>
            </w:r>
          </w:p>
        </w:tc>
        <w:tc>
          <w:tcPr>
            <w:tcW w:w="144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87</w:t>
            </w:r>
          </w:p>
        </w:tc>
        <w:tc>
          <w:tcPr>
            <w:tcW w:w="1257"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w:t>
            </w:r>
          </w:p>
        </w:tc>
        <w:tc>
          <w:tcPr>
            <w:tcW w:w="1449"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89 (6,8%)</w:t>
            </w:r>
          </w:p>
        </w:tc>
        <w:tc>
          <w:tcPr>
            <w:tcW w:w="1384"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100,4</w:t>
            </w:r>
          </w:p>
        </w:tc>
      </w:tr>
    </w:tbl>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последние 3 года численность педагогов сократилась на 49 человек (4%), постепенно уменьшается доля молодых учителей с 3 до 2,1%, происходит процесс старения учительских кадров. Степень феминизации педагогической среды увеличивается: в 2008 году доля мужчин среди педагогов составляла 12%, в 2010 году -5% (соответственно 150 и 61 чел). Причины такого явления кроются в низкой оплате труда педагогов и снижении авторитета учительства.</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Динамика изменения состава учителей района по стажу педагогической деятельности (возрастная характеристика) представлена в таблице (табл.26).</w:t>
      </w:r>
    </w:p>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26 Динамика изменения состава учителей Чеховского района в 2008- 2010 г.г.</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5071"/>
        <w:gridCol w:w="1243"/>
        <w:gridCol w:w="1243"/>
        <w:gridCol w:w="957"/>
      </w:tblGrid>
      <w:tr w:rsidR="00FE5AE9">
        <w:tc>
          <w:tcPr>
            <w:tcW w:w="5071"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Стаж\годы</w:t>
            </w:r>
          </w:p>
        </w:tc>
        <w:tc>
          <w:tcPr>
            <w:tcW w:w="1243"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w:t>
            </w:r>
          </w:p>
        </w:tc>
        <w:tc>
          <w:tcPr>
            <w:tcW w:w="1243"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957"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r>
      <w:tr w:rsidR="00FE5AE9">
        <w:tc>
          <w:tcPr>
            <w:tcW w:w="5071"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 учителей</w:t>
            </w:r>
          </w:p>
        </w:tc>
        <w:tc>
          <w:tcPr>
            <w:tcW w:w="1243"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1387</w:t>
            </w:r>
          </w:p>
        </w:tc>
        <w:tc>
          <w:tcPr>
            <w:tcW w:w="1243"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1389</w:t>
            </w:r>
          </w:p>
        </w:tc>
        <w:tc>
          <w:tcPr>
            <w:tcW w:w="957"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1297</w:t>
            </w:r>
          </w:p>
        </w:tc>
      </w:tr>
      <w:tr w:rsidR="00FE5AE9">
        <w:tc>
          <w:tcPr>
            <w:tcW w:w="5071"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 2-х лет</w:t>
            </w:r>
          </w:p>
        </w:tc>
        <w:tc>
          <w:tcPr>
            <w:tcW w:w="1243"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w:t>
            </w:r>
          </w:p>
        </w:tc>
        <w:tc>
          <w:tcPr>
            <w:tcW w:w="1243"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w:t>
            </w:r>
          </w:p>
        </w:tc>
        <w:tc>
          <w:tcPr>
            <w:tcW w:w="957"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w:t>
            </w:r>
          </w:p>
        </w:tc>
      </w:tr>
      <w:tr w:rsidR="00FE5AE9">
        <w:tc>
          <w:tcPr>
            <w:tcW w:w="5071"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 лет</w:t>
            </w:r>
          </w:p>
        </w:tc>
        <w:tc>
          <w:tcPr>
            <w:tcW w:w="1243"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177</w:t>
            </w:r>
          </w:p>
        </w:tc>
        <w:tc>
          <w:tcPr>
            <w:tcW w:w="1243"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152</w:t>
            </w:r>
          </w:p>
        </w:tc>
        <w:tc>
          <w:tcPr>
            <w:tcW w:w="957"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123</w:t>
            </w:r>
          </w:p>
        </w:tc>
      </w:tr>
      <w:tr w:rsidR="00FE5AE9">
        <w:tc>
          <w:tcPr>
            <w:tcW w:w="5071"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5-10 лет</w:t>
            </w:r>
          </w:p>
        </w:tc>
        <w:tc>
          <w:tcPr>
            <w:tcW w:w="1243"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318</w:t>
            </w:r>
          </w:p>
        </w:tc>
        <w:tc>
          <w:tcPr>
            <w:tcW w:w="1243"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351</w:t>
            </w:r>
          </w:p>
        </w:tc>
        <w:tc>
          <w:tcPr>
            <w:tcW w:w="957"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324</w:t>
            </w:r>
          </w:p>
        </w:tc>
      </w:tr>
      <w:tr w:rsidR="00FE5AE9">
        <w:tc>
          <w:tcPr>
            <w:tcW w:w="5071"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10-20 лет</w:t>
            </w:r>
          </w:p>
        </w:tc>
        <w:tc>
          <w:tcPr>
            <w:tcW w:w="1243"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457</w:t>
            </w:r>
          </w:p>
        </w:tc>
        <w:tc>
          <w:tcPr>
            <w:tcW w:w="1243"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453</w:t>
            </w:r>
          </w:p>
        </w:tc>
        <w:tc>
          <w:tcPr>
            <w:tcW w:w="957"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446</w:t>
            </w:r>
          </w:p>
        </w:tc>
      </w:tr>
      <w:tr w:rsidR="00FE5AE9">
        <w:tc>
          <w:tcPr>
            <w:tcW w:w="5071"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Более 20 лет</w:t>
            </w:r>
          </w:p>
        </w:tc>
        <w:tc>
          <w:tcPr>
            <w:tcW w:w="1243"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280</w:t>
            </w:r>
          </w:p>
        </w:tc>
        <w:tc>
          <w:tcPr>
            <w:tcW w:w="1243"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279</w:t>
            </w:r>
          </w:p>
        </w:tc>
        <w:tc>
          <w:tcPr>
            <w:tcW w:w="957"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299</w:t>
            </w:r>
          </w:p>
        </w:tc>
      </w:tr>
      <w:tr w:rsidR="00FE5AE9">
        <w:tc>
          <w:tcPr>
            <w:tcW w:w="5071"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т.ч.работающие пенсионеры</w:t>
            </w:r>
          </w:p>
        </w:tc>
        <w:tc>
          <w:tcPr>
            <w:tcW w:w="1243"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117</w:t>
            </w:r>
          </w:p>
        </w:tc>
        <w:tc>
          <w:tcPr>
            <w:tcW w:w="1243"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122</w:t>
            </w:r>
          </w:p>
        </w:tc>
        <w:tc>
          <w:tcPr>
            <w:tcW w:w="957"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w:t>
            </w:r>
          </w:p>
        </w:tc>
      </w:tr>
    </w:tbl>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Диаграмма 3 Возрастная структура педагогов Чеховского муниципального района в 2003- 2010 г.г.</w:t>
      </w:r>
    </w:p>
    <w:p w:rsidR="00FE5AE9" w:rsidRDefault="001B7D3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104130" cy="301498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04130" cy="3014980"/>
                    </a:xfrm>
                    <a:prstGeom prst="rect">
                      <a:avLst/>
                    </a:prstGeom>
                    <a:noFill/>
                    <a:ln>
                      <a:noFill/>
                    </a:ln>
                  </pic:spPr>
                </pic:pic>
              </a:graphicData>
            </a:graphic>
          </wp:inline>
        </w:drawing>
      </w:r>
    </w:p>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данной диаграммы выявил старение педагогического состава ОУ города. В связи с этим одной из важных кадровых задач в городской системе образования является задача привлечения молодых специалистов. На сегодняшний день сложной остаётся ситуация кадрового обеспечения дошкольных образовательных учреждений района.</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данных о количестве молодых педагогов района позволяет сделать вывод о том, что молодые педагоги неохотно идут работать по специальности после окончания высших и средне- специальных учебных заведений. В Чеховском районе остается стабильным количество вакансий по следующим предметам: технический труд, информатика, математика, музыка. Динамика уменьшения количества молодых педагогов в образовательных учреждениях района (Диаграмма 4) подтверждает необходимость привлечения молодых педагогов в образовательные учреждения Чеховского района.</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27 Количество вакансий по предметам</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07"/>
        <w:gridCol w:w="2673"/>
      </w:tblGrid>
      <w:tr w:rsidR="00FE5AE9">
        <w:trPr>
          <w:jc w:val="center"/>
        </w:trPr>
        <w:tc>
          <w:tcPr>
            <w:tcW w:w="2907"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Предмет</w:t>
            </w:r>
          </w:p>
        </w:tc>
        <w:tc>
          <w:tcPr>
            <w:tcW w:w="2673"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Количество</w:t>
            </w:r>
          </w:p>
        </w:tc>
      </w:tr>
      <w:tr w:rsidR="00FE5AE9">
        <w:trPr>
          <w:jc w:val="center"/>
        </w:trPr>
        <w:tc>
          <w:tcPr>
            <w:tcW w:w="2907"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Математика</w:t>
            </w:r>
          </w:p>
        </w:tc>
        <w:tc>
          <w:tcPr>
            <w:tcW w:w="2673"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(12 час)</w:t>
            </w:r>
          </w:p>
        </w:tc>
      </w:tr>
      <w:tr w:rsidR="00FE5AE9">
        <w:trPr>
          <w:jc w:val="center"/>
        </w:trPr>
        <w:tc>
          <w:tcPr>
            <w:tcW w:w="2907"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Информатика</w:t>
            </w:r>
          </w:p>
        </w:tc>
        <w:tc>
          <w:tcPr>
            <w:tcW w:w="2673"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(36 час)</w:t>
            </w:r>
          </w:p>
        </w:tc>
      </w:tr>
      <w:tr w:rsidR="00FE5AE9">
        <w:trPr>
          <w:jc w:val="center"/>
        </w:trPr>
        <w:tc>
          <w:tcPr>
            <w:tcW w:w="2907"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Физическая культура</w:t>
            </w:r>
          </w:p>
        </w:tc>
        <w:tc>
          <w:tcPr>
            <w:tcW w:w="2673"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(54 час)</w:t>
            </w:r>
          </w:p>
        </w:tc>
      </w:tr>
      <w:tr w:rsidR="00FE5AE9">
        <w:trPr>
          <w:jc w:val="center"/>
        </w:trPr>
        <w:tc>
          <w:tcPr>
            <w:tcW w:w="2907"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Музыка</w:t>
            </w:r>
          </w:p>
        </w:tc>
        <w:tc>
          <w:tcPr>
            <w:tcW w:w="2673"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(21 час)</w:t>
            </w:r>
          </w:p>
        </w:tc>
      </w:tr>
      <w:tr w:rsidR="00FE5AE9">
        <w:trPr>
          <w:jc w:val="center"/>
        </w:trPr>
        <w:tc>
          <w:tcPr>
            <w:tcW w:w="2907"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Технический труд</w:t>
            </w:r>
          </w:p>
        </w:tc>
        <w:tc>
          <w:tcPr>
            <w:tcW w:w="2673"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(54 час)</w:t>
            </w:r>
          </w:p>
        </w:tc>
      </w:tr>
    </w:tbl>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Отток молодых специалистов, продолжительность работы которых не превышает 2 лет, связан, прежде всего, с социальной незащищенностью (отсутствием жилья, отсрочки от армии), государственной политики, низкой заработной платой, особенностями и трудностями, связанными с обучением и воспитанием подрастающего поколения. Одной из наиболее значимых проблем является отсутствие должного авторитета к профессии «Учитель».</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оценки стратегии развития методического мастерства педагогов, методического обеспечения системы образования района важно отметить, что реорганизация органов управления в городе Чехове, в результате которой было сокращено наполовину количество специалистов отделов и были ликвидированы районные методические кабинеты, повлекла за собой реальное снижение уровня адресной и предметной помощи учителям, недостаточный индивидуальный подход к педагогам, снижение наукоемкости методической работы. Как следствие наблюдается при повышении общего числа успевающих (99,7%) и качества образования (36,6%) снижение числа призеров олимпиад, конкурсов городского и областного масштабов, уровень открытых уроков, уроков конкурса "Учитель года".</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 всех образовательных учреждениях медицинские кабинеты укомплектованы кадрами врачей, однако в школах 1,5 работают совместители. В средней школе № 4 и № 2 нет медсестер, что неблагоприятно влияет на качество медицинского обеспечения. В школах района работают 18 оплачиваемых специальных медицинских групп с охватом 283 учащихся, что явно </w:t>
      </w:r>
      <w:r>
        <w:rPr>
          <w:rFonts w:ascii="Times New Roman CYR" w:hAnsi="Times New Roman CYR" w:cs="Times New Roman CYR"/>
          <w:sz w:val="28"/>
          <w:szCs w:val="28"/>
        </w:rPr>
        <w:lastRenderedPageBreak/>
        <w:t>недостаточно.</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Изменения в системе муниципального управления повлекли за собой изменение функций и должностного статуса оставшихся специалистов. Благодаря управленческому поиску, стремлению соответствовать требованиям времени была разработана новая структура районного отдела образования, в центре которой лежит опора на общественность, районный центр детского и юношеского творчества, сотрудничество с лучшими педагогами района. Но при этом проявились серьезные недостатки: не всегда четко продуманы функции, не сбалансировано распределение обязанностей работников, отсутствует строгое сочетание горизонтальной и вертикальной (город, область) координации взаимодействия. Отсюда общая перегрузка работников РОО, их постоянное переключение на текучку дел. Задачи, требующие привлечения дополнительного интеллектуального потенциала, отдел пытается решать собственными малыми штатными возможностями, хотя многие проблемы современного образования требуют принятия опережающих, стратегических управленческих решений.</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Результатом управленческой деятельности отдела образования стало повышение компетентности руководителей образовательных учреждений. Высшую квалификационную категорию по должности руководитель имеют 11 человек, 2 директора школы имеют почетное звание "Заслуженный учитель школ РФ". Руководители образовательных учреждений владеют навыками анализа, планирования, организации учебно-воспитательного процесса, его коррекции, ведения внутришкольного контроля в различных формах.</w:t>
      </w:r>
    </w:p>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.6 Анализ финансового обеспечения общеобразовательных учреждений</w:t>
      </w:r>
    </w:p>
    <w:p w:rsidR="00FE5AE9" w:rsidRDefault="00FE5AE9">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Источниками финансирования системы образования города Чеховского </w:t>
      </w:r>
      <w:r>
        <w:rPr>
          <w:rFonts w:ascii="Times New Roman CYR" w:hAnsi="Times New Roman CYR" w:cs="Times New Roman CYR"/>
          <w:sz w:val="28"/>
          <w:szCs w:val="28"/>
        </w:rPr>
        <w:lastRenderedPageBreak/>
        <w:t>района Московской области является бюджетное финансирование, средства от участия в международных образовательных проектах, средства от участия в федеральных целевых, областных и городских программах, привлечение спонсорской помощи, использование собственных средств, за счет разработки и реализации инновационных проектов, образовательного комплекса платных услуг.</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счет средств городского бюджета осуществляется финансирование расходов, необходимых для организации учебного процесса, включая оплату труда работников учреждений в полном объеме, выплату денежной компенсацию по приобретению книгоиздательской продукции и методической литературы, выплаты мер социальной поддержки обучающихся (воспитанников) и работников учреждений, расходы на приобретение учебных пособий, технических средств обучения, расходных материалов и предметов снабжения.</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счет средств муниципальных бюджетов обеспечиваются содержание и организация работы учреждений общего образования (расходы на питание, оплату коммунальных услуг, приобретение оборудования, проведение капитального и текущего ремонта, прочие учебные расходы).</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Оплата труда педагогов осуществляется из бюджетных средств, согласно ЕТС. В последние годы заработная плата учителей незначительно возросла (рис.6).</w:t>
      </w:r>
    </w:p>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1B7D3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149725" cy="2430780"/>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49725" cy="2430780"/>
                    </a:xfrm>
                    <a:prstGeom prst="rect">
                      <a:avLst/>
                    </a:prstGeom>
                    <a:noFill/>
                    <a:ln>
                      <a:noFill/>
                    </a:ln>
                  </pic:spPr>
                </pic:pic>
              </a:graphicData>
            </a:graphic>
          </wp:inline>
        </w:drawing>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Рис.6. Динамика роста средней заработной платы учителей в Чеховском районе.</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Ухудшение материального положения учителей приводит к апатии и негативным явлениям при организации воспитательной работы. С 1 января все школы перешли на подушевое финансирование. заработная плата учителей при такой системе не будет зависть от количества часов: основными критериями, по которым она будет начисляться педагогам, станут количество учеников и качество обучения. Таким образом, будут созданы профильные школы, в которых останутся работать учителя-профессионалы.</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Подобная система финансирования, разработанная и одобренная Минобразования РФ, уже прошла апробацию в некоторых регионах страны. Подобное регулирование учительской зарплаты уже действует в Санкт-Петербурге, Самаре, Тюмени, и практика показала пока только положительные его стороны.</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Подушевое финансирование не затронет малокомплектные школы, там заработная плата учителя будет начисляться по старой схеме. В остальных учебных заведениях и учителя, и директор будут заинтересованы в том, чтобы учеников было больше, тогда и средняя заработная плата увеличится, и профильное обучение станет со знаком качества.</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Несмотря на ежегодный рост бюджета образования в абсолютных цифрах, потребности системы в финансовых средствах удовлетворяются на 75-80%, так как увеличение бюджета в основном происходит за счет увеличения средств по фонду оплаты труда, доля которого по-прежнему очень велика. Тем не менее, средняя зарплата в системе образования остается не очень высокой и составляет, в зависимости от уровня образования, квалификации и стажа работы 6- 8 тыс. руб.</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Существует необходимость прибегать к поиску дополнительных источников финансирования.</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sz w:val="28"/>
          <w:szCs w:val="28"/>
        </w:rPr>
        <w:br w:type="page"/>
      </w:r>
      <w:r>
        <w:rPr>
          <w:rFonts w:ascii="Times New Roman CYR" w:hAnsi="Times New Roman CYR" w:cs="Times New Roman CYR"/>
          <w:caps/>
          <w:sz w:val="28"/>
          <w:szCs w:val="28"/>
        </w:rPr>
        <w:lastRenderedPageBreak/>
        <w:t>2.7 Анализ материально-технического обеспечения общеобразовательных учреждений</w:t>
      </w:r>
    </w:p>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Развитие образования невозможно без сохранения и целенаправленного развития имеющейся материальной базы. Материально-техническое обеспечение оборудованием является столь же необходимым для обеспечения качественного образования, как учебная литература и квалифицированные педагогические кадры. Действительно эффективный образовательный процесс, обеспечивающий полноценные знания, высокую заинтересованность учащихся, требует аудио-визуальных форм представления информации и активной учебной деятельности самих учащихся, не только с информационными, но и, что особенно важно, с материальными объектами. Поэтому федеральные и региональные образовательные программы накладывают особые требования на учебное оборудование. Выполнение этих требований необходимо для лицензирования деятельности учреждения.</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рамках реализации Национального проекта «Образование» в 2010г. по направлению «Государственная поддержка образовательных учреждений, внедряющих инновационные образовательные программы» проходил конкурсный отбор, в котором участвовали 6 образовательных учреждений: МОУ гимназии № 9, 11, 19, МОУ СОШ № 20, МОУ Лицей НИП, МОУ специальная (коррекционная) общеобразовательная школа-интернат для слепых и слабовидящих детей. Были выявлены 3 лучшие школы. 2 из них стали победителями конкурса, получив из федерального бюджета грант на реализацию инновационной образовательной программы в размере 1 млн. рублей каждый. Основные средства директорами школ были направлены на модернизацию материально-технической базы образовательных учреждений, на повышение квалификации и переподготовку педагогических работников, на приобретение </w:t>
      </w:r>
      <w:r>
        <w:rPr>
          <w:rFonts w:ascii="Times New Roman CYR" w:hAnsi="Times New Roman CYR" w:cs="Times New Roman CYR"/>
          <w:sz w:val="28"/>
          <w:szCs w:val="28"/>
        </w:rPr>
        <w:lastRenderedPageBreak/>
        <w:t>лабораторного оборудования, на приобретение программного и методического обеспечения.</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28</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Средства на приобретение учебников и пополнение учебных фондов школьных библиотек</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60"/>
        <w:gridCol w:w="2126"/>
        <w:gridCol w:w="2393"/>
      </w:tblGrid>
      <w:tr w:rsidR="00FE5AE9">
        <w:tc>
          <w:tcPr>
            <w:tcW w:w="266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Бюджет</w:t>
            </w:r>
          </w:p>
        </w:tc>
        <w:tc>
          <w:tcPr>
            <w:tcW w:w="2126"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Кол-во экземпляр.</w:t>
            </w:r>
          </w:p>
        </w:tc>
        <w:tc>
          <w:tcPr>
            <w:tcW w:w="2393"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 (руб.)</w:t>
            </w:r>
          </w:p>
        </w:tc>
      </w:tr>
      <w:tr w:rsidR="00FE5AE9">
        <w:tc>
          <w:tcPr>
            <w:tcW w:w="266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Федеральный</w:t>
            </w:r>
          </w:p>
        </w:tc>
        <w:tc>
          <w:tcPr>
            <w:tcW w:w="2126"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4130</w:t>
            </w:r>
          </w:p>
        </w:tc>
        <w:tc>
          <w:tcPr>
            <w:tcW w:w="2393"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131606,56</w:t>
            </w:r>
          </w:p>
        </w:tc>
      </w:tr>
      <w:tr w:rsidR="00FE5AE9">
        <w:tc>
          <w:tcPr>
            <w:tcW w:w="266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Областной</w:t>
            </w:r>
          </w:p>
        </w:tc>
        <w:tc>
          <w:tcPr>
            <w:tcW w:w="2126"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9047</w:t>
            </w:r>
          </w:p>
        </w:tc>
        <w:tc>
          <w:tcPr>
            <w:tcW w:w="2393"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576155,54</w:t>
            </w:r>
          </w:p>
        </w:tc>
      </w:tr>
      <w:tr w:rsidR="00FE5AE9">
        <w:tc>
          <w:tcPr>
            <w:tcW w:w="266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Муниципальный</w:t>
            </w:r>
          </w:p>
        </w:tc>
        <w:tc>
          <w:tcPr>
            <w:tcW w:w="2126"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16678</w:t>
            </w:r>
          </w:p>
        </w:tc>
        <w:tc>
          <w:tcPr>
            <w:tcW w:w="2393"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991471,0</w:t>
            </w:r>
          </w:p>
        </w:tc>
      </w:tr>
      <w:tr w:rsidR="00FE5AE9">
        <w:tc>
          <w:tcPr>
            <w:tcW w:w="266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2126"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29855</w:t>
            </w:r>
          </w:p>
        </w:tc>
        <w:tc>
          <w:tcPr>
            <w:tcW w:w="2393"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1108693,10</w:t>
            </w:r>
          </w:p>
        </w:tc>
      </w:tr>
    </w:tbl>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счет средств областного бюджета были поддержаны все школы - участники регионального этапа конкурсного отбора. Гимназии №9 были выделены средства в размере 500 тыс. рублей на приобретение кабинета физики, а двум школам - победителям было выделено по 200 тыс. рублей на приобретение современных предметных кабинетов химии. Из муниципальных средств привлечено 3427 тыс. рублей на развитие материально-технической базы школ - участников ПНПО.</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Темпы старения и износа зданий в Чеховском районе существенно опережают темпы их капитального ремонта и строительства новых объектов. В незамедлительном кап. ремонте нуждаются школы № 4 (котельная, спортзал), 1, 5.</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учреждения образования ежегодно проводят косметический и текущий ремонт всех школьных помещений, ремонтируют коммуникации, кровлю, полы, фасад по мере необходимости. Ремонт в основном осуществляется за счет средств родителей. Например, в 2010 году на подготовку учреждений образования к новому учебном году было затрачено 1405 тыс.руб., в том числе родительских средств - 600 тыс. руб., спонсорских средств - 252 тыс. руб., депутатских - 433 тыс. руб., бюджетных -120 тыс.руб.</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 счет средств, полученных в 2010 г., были проведены работы по </w:t>
      </w:r>
      <w:r>
        <w:rPr>
          <w:rFonts w:ascii="Times New Roman CYR" w:hAnsi="Times New Roman CYR" w:cs="Times New Roman CYR"/>
          <w:sz w:val="28"/>
          <w:szCs w:val="28"/>
        </w:rPr>
        <w:lastRenderedPageBreak/>
        <w:t>благоустройству территории дошкольных и школьных учреждений: детских садов «Дельфин» и «Звездочка», школы №7, № 2 гимназия №1. На территории детских садов были установлены малые архитектурные формы, выполнены работы по устройству газонов и покрытий детских площадок из гранитных высевок. В школьных дворах были выполнены работы по устройству поля для игры в гандбол с посевом травы, игровой площадки с установкой спортивных снарядов, баскетбольной площадки с установкой малых форм, полосы препятствий.</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Приведем некоторые данные о наличии оборудования. Уровень оснащения демонстрационным оборудованием по физике: для 7 класса - 45%, для 8 класса - 17%, для 9 класса - 26%, для 10 и 11 - 24% .</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Только в 11% школах чеховского района есть оборудование для проведения всех необходимых лабораторных работ по физике .</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Уровень оснащения демонстрационным оборудованием (скелет человека, модель цветкового растения и пр.) по биологии: Ботаника (5-6 классы) - 19%, Зоология (7 класс) 15%, Анатомия (9 класс) - 25%, Общая биология (10-11 классы) - 17%.</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Оборудование для практических работ (микроскопы, лупы, и пр.) имеется в 14% школ Чеховского района.</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Оснащение школ материально-технической базой рассматривается не просто как обеспечение компонента образовательной области информатики, а как способ решения всего комплекса образовательных задач обучения, воспитания, развития, задач управления образовательным процессом. </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Современная информационная инфраструктура школы (локальная сеть, доступ в Интернет), решая задачи учебного, воспитательного и административного процессов, должна являться прообразом той современной информационной среды, с которой выпускники сталкиваются уже сегодня. </w:t>
      </w:r>
      <w:r>
        <w:rPr>
          <w:rFonts w:ascii="Times New Roman CYR" w:hAnsi="Times New Roman CYR" w:cs="Times New Roman CYR"/>
          <w:sz w:val="28"/>
          <w:szCs w:val="28"/>
        </w:rPr>
        <w:lastRenderedPageBreak/>
        <w:t>Школа должна иметь возможность обеспечивать и технологически поддерживать учащихся.</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sz w:val="28"/>
          <w:szCs w:val="28"/>
        </w:rPr>
        <w:br w:type="page"/>
      </w:r>
      <w:r>
        <w:rPr>
          <w:rFonts w:ascii="Times New Roman CYR" w:hAnsi="Times New Roman CYR" w:cs="Times New Roman CYR"/>
          <w:caps/>
          <w:sz w:val="28"/>
          <w:szCs w:val="28"/>
        </w:rPr>
        <w:lastRenderedPageBreak/>
        <w:t>2.8 Анализ инноваций</w:t>
      </w:r>
    </w:p>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качества образования в современных условиях возможно только на основе активизации инновационных процессов в данной сфере, обеспечения интеграции образовательной, научной и практической деятельности. Это снимет проблему замкнутости системы образования, откроет ее внешним воздействиям, приведет к постоянному обновлению содержания образования и технологий обучения.</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Обеспечение доступности качественного общего образования в первую очередь должно быть направлено на выравнивание стартовых возможностей получения общего образования. Это позволит снизить социальную дифференциацию, заложить необходимую основу для повышения качества образования, социальной, территориальной и образовательной мобильности детей и молодежи. Повышение инвестиционной привлекательности системы образования позволит решить проблему дефицита квалифицированных кадров в системе образования, повысить ее управленческий потенциал, обеспечить развитие ресурсной базы, а также внедрение новых технологий в образовательный процесс.</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условиях развития экономики знаний необходимо создать условия для формирования национальной инновационной системы, способной обеспечить интеграцию сферы образования, науки и экономики.</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Необходимо создавать механизмы преодоления постоянного отставания системы образования от тех знаний и технологий, на которых строится современное общество.</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Выводы по проведенному анализу</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развития муниципальной системы образования Чеховского района позволил сделать положительные и отрицательные выводы и предложить </w:t>
      </w:r>
      <w:r>
        <w:rPr>
          <w:rFonts w:ascii="Times New Roman CYR" w:hAnsi="Times New Roman CYR" w:cs="Times New Roman CYR"/>
          <w:sz w:val="28"/>
          <w:szCs w:val="28"/>
        </w:rPr>
        <w:lastRenderedPageBreak/>
        <w:t>мероприятия по совершенствованию муниципального управления развитием системы образования.</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Наиболее острыми проблемами является отток молодых педагогических кадров из общеобразовательных учреждений района; отсутствие организации горячего питания в школах; отсутствие единого информационного пространства, неразвитость электронных ресурсов; отсутствие программ дальнейшего развития системы образования района.</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результате нами были предложены следующие мероприятия:</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Привлечение молодых специалистов в образовательные учреждения района;</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горячего питания в школах</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Информатизация системы образования Чеховского района</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Разработка комплексной программы развития сферы образования Чеховского района.</w:t>
      </w:r>
    </w:p>
    <w:p w:rsidR="00FE5AE9" w:rsidRDefault="00FE5AE9">
      <w:pPr>
        <w:widowControl w:val="0"/>
        <w:tabs>
          <w:tab w:val="left" w:pos="428"/>
          <w:tab w:val="left" w:pos="1302"/>
          <w:tab w:val="left" w:pos="9344"/>
        </w:tabs>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tabs>
          <w:tab w:val="left" w:pos="428"/>
          <w:tab w:val="left" w:pos="1302"/>
          <w:tab w:val="left" w:pos="934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lang w:val="en-US"/>
        </w:rPr>
        <w:lastRenderedPageBreak/>
        <w:t>III</w:t>
      </w:r>
      <w:r>
        <w:rPr>
          <w:rFonts w:ascii="Times New Roman CYR" w:hAnsi="Times New Roman CYR" w:cs="Times New Roman CYR"/>
          <w:sz w:val="28"/>
          <w:szCs w:val="28"/>
        </w:rPr>
        <w:t>. СОВЕРШЕНСТВОВАНИЕ СИСТЕМЫ УПРАВЛЕНИЯ СФЕРОЙ ОБРАЗОВАНИЯ (НА ПРИМЕРЕ ЧЕХОВСКОГО МУНИЦИПАЛЬНОГО РАЙОНА МОСКОВСКОЙ ОБЛАСТИ)</w:t>
      </w:r>
    </w:p>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29 Сводная таблица проектируемых мероприятий</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60"/>
        <w:gridCol w:w="3420"/>
        <w:gridCol w:w="3060"/>
      </w:tblGrid>
      <w:tr w:rsidR="00FE5AE9">
        <w:tc>
          <w:tcPr>
            <w:tcW w:w="266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Мероприятия</w:t>
            </w:r>
          </w:p>
        </w:tc>
        <w:tc>
          <w:tcPr>
            <w:tcW w:w="342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Содержание мероприятия</w:t>
            </w:r>
          </w:p>
        </w:tc>
        <w:tc>
          <w:tcPr>
            <w:tcW w:w="306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Экономическая (социальная) эффективность</w:t>
            </w:r>
          </w:p>
        </w:tc>
      </w:tr>
      <w:tr w:rsidR="00FE5AE9">
        <w:tc>
          <w:tcPr>
            <w:tcW w:w="266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Привлечение молодых специалистов в образовательные учреждения района</w:t>
            </w:r>
          </w:p>
        </w:tc>
        <w:tc>
          <w:tcPr>
            <w:tcW w:w="342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Разработан дифференцированно - аннуитетный способ выплаты ставок по ипотечным кредитам Предложены надбавки к заработной плате педагогов в 1-3 года работы по 3000-5000 т.р.</w:t>
            </w:r>
          </w:p>
        </w:tc>
        <w:tc>
          <w:tcPr>
            <w:tcW w:w="306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Привлечение и закрепление молодых педагогов в образовательных учреждениях района, решение кадровых проблем. Увеличение заработной платы в среднем на 4 тыс. руб. в месяц Уменьшение кредитного бремени на 200 тыс. руб. с выплаты одного кредита </w:t>
            </w:r>
          </w:p>
        </w:tc>
      </w:tr>
      <w:tr w:rsidR="00FE5AE9">
        <w:tc>
          <w:tcPr>
            <w:tcW w:w="266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2.Организация горячего питания в школах</w:t>
            </w:r>
          </w:p>
        </w:tc>
        <w:tc>
          <w:tcPr>
            <w:tcW w:w="342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1)Приготовление обедов на базовом комбинате городской Столовой № 3 2)Доставка обедов на грузовиках с изотермическими кузовами в общеобразовательные учреждения района 3)Разогрев в пароконвектоматах в каждом образовательном учреждении (в конвекционном или регенерационном режиме)</w:t>
            </w:r>
          </w:p>
        </w:tc>
        <w:tc>
          <w:tcPr>
            <w:tcW w:w="306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Получение полноценного горячего питания Соблюдение санитарных правил и норм Сбалансированность питания школьников Затраты на реализацию мероприятия составят 182. 700 руб.</w:t>
            </w:r>
          </w:p>
        </w:tc>
      </w:tr>
      <w:tr w:rsidR="00FE5AE9">
        <w:tc>
          <w:tcPr>
            <w:tcW w:w="266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Информатизация системы образования Чеховского района</w:t>
            </w:r>
          </w:p>
        </w:tc>
        <w:tc>
          <w:tcPr>
            <w:tcW w:w="342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Создание ярусного процесса сбора данных, предполагающего, что данные по общеобразовательным учреждениям будут накапливаться в муниципальную базу данных, затем в региональную базу данных.</w:t>
            </w:r>
          </w:p>
        </w:tc>
        <w:tc>
          <w:tcPr>
            <w:tcW w:w="306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Ликвидация разрозненности, разобщенности и недостоверности информации Получение адекватного отображенияситуации Мониторинг по определению уровня информатизации в учебных заведениях района Поддержка и развитие регионального образовательного сервера Поддержка технического обслуживания компьютерных и телекоммуникационных систем Совершенствование методического, ресурсного, сервисного обеспечения Развитие материально-технической и научно-методической базы Повышение квалификации и профессиональная переподготовка педагогических кадров Затраты на реализацию мероприятия составят 10300 тыс. руб.</w:t>
            </w:r>
          </w:p>
        </w:tc>
      </w:tr>
      <w:tr w:rsidR="00FE5AE9">
        <w:tc>
          <w:tcPr>
            <w:tcW w:w="266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4.Разработка программных </w:t>
            </w:r>
            <w:r>
              <w:rPr>
                <w:rFonts w:ascii="Times New Roman CYR" w:hAnsi="Times New Roman CYR" w:cs="Times New Roman CYR"/>
                <w:sz w:val="20"/>
                <w:szCs w:val="20"/>
              </w:rPr>
              <w:lastRenderedPageBreak/>
              <w:t>мероприятий по развитию сферы образования Чеховского района</w:t>
            </w:r>
          </w:p>
        </w:tc>
        <w:tc>
          <w:tcPr>
            <w:tcW w:w="342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-Создание детских садов </w:t>
            </w:r>
            <w:r>
              <w:rPr>
                <w:rFonts w:ascii="Times New Roman CYR" w:hAnsi="Times New Roman CYR" w:cs="Times New Roman CYR"/>
                <w:sz w:val="20"/>
                <w:szCs w:val="20"/>
              </w:rPr>
              <w:lastRenderedPageBreak/>
              <w:t>комбинированного вида, которые будут сочетать в себе общее, развивающее воспитание; -Создание на основе школ детских садов; -Подбор и адаптация новых технологий, методик, форм работы с детьми, выявление уровня умственного развития детей. -Внедрение экологического воспитания; -Расширение сети дополнительных услуг (кружков, секций); -Организация физического воспитания на основе диагностики данных углубленного осмотра детей с комплексной оценкой их здоровья, обеспечение дифференцированного подхода в укреплении здоровья детей. -Для поддержки одаренных детей в школах необходимо разработать и осуществить специальные программы, организовать олимпиады, конкурсы, выпускникам выдаются целевые направления для поступления в ВУЗы. Создание мини-кружков для детей с ограниченными возможностями здоровья на базе школ и т.д.</w:t>
            </w:r>
          </w:p>
        </w:tc>
        <w:tc>
          <w:tcPr>
            <w:tcW w:w="306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Содействие творческому, </w:t>
            </w:r>
            <w:r>
              <w:rPr>
                <w:rFonts w:ascii="Times New Roman CYR" w:hAnsi="Times New Roman CYR" w:cs="Times New Roman CYR"/>
                <w:sz w:val="20"/>
                <w:szCs w:val="20"/>
              </w:rPr>
              <w:lastRenderedPageBreak/>
              <w:t>духовному развитию личности, развитие инновационной работы, преимущественно школьников, развитие системы образования в интересах формирования гармонично развитой, социально-активной личности.</w:t>
            </w:r>
          </w:p>
        </w:tc>
      </w:tr>
    </w:tbl>
    <w:p w:rsidR="00FE5AE9" w:rsidRDefault="00FE5AE9">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tabs>
          <w:tab w:val="left" w:pos="0"/>
        </w:tabs>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3.1 Привлечение молодых специалистов в образовательные учреждения района</w:t>
      </w:r>
    </w:p>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кадрового обеспечения образовательных учреждений района выявил уменьшение численности молодых педагогов, старение кадров, стабильное количество вакансий по многим предметам. Отток молодых специалистов, продолжительность работы которых не превышает 2 лет, связан, прежде всего, с социальной незащищенностью (отсутствием жилья, отсрочки от армии), государственной политики, низкой заработной платой, особенностями и трудностями, связанными с обучением и воспитанием подрастающего поколения.</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решения проблемы привлечения молодых специалистов в образовательные учреждения необходимо решить проблемы по следующим </w:t>
      </w:r>
      <w:r>
        <w:rPr>
          <w:rFonts w:ascii="Times New Roman CYR" w:hAnsi="Times New Roman CYR" w:cs="Times New Roman CYR"/>
          <w:sz w:val="28"/>
          <w:szCs w:val="28"/>
        </w:rPr>
        <w:lastRenderedPageBreak/>
        <w:t>направлениям:</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Увеличение заработной платы молодым специалистам по возрастающей системе;</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Возможность получения льготного кредитования на получение жилья;</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Повышение авторитета к профессии</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Выплаты на повышение заработной платы молодым педагогам должны осуществляться из местного бюджета. Зарплата должна обеспечить молодым специалистам возможность участия в программе льготного кредитования на получение жилья. Контракт с выпускником вуза будет заключаться на 10 лет, и в течение этого срока он должен обязательно работать школе.</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того чтобы молодые кадры, окончившие педвуза шли работать в чеховские школы при средней зарплате 8300 рублей необходимо принять кардинальные меры. Если сейчас не принять меры, то через 8-10 лет возникнет реальная угроза того, что в школах не останется преподавателей. Поэтому городские власти должны решать эту проблему уже сегодня. Ниже представлены меры по стимулированию притока молодых кадров, которые может использовать Администрация Чеховского района.</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целью привлечения молодых специалистов в образовательные учреждения города, создания условий для их профессионального становления и роста, закрепления в муниципальной образовательной системе считаем целесообразным, дополнительно выплачивать молодым специалистам:</w:t>
      </w:r>
    </w:p>
    <w:p w:rsidR="00FE5AE9" w:rsidRDefault="00920100">
      <w:pPr>
        <w:widowControl w:val="0"/>
        <w:tabs>
          <w:tab w:val="left" w:pos="720"/>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за первый год работы в образовательных учреждениях района надбавки к заработной плате 3000 рублей;</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за второй год работы в образовательных учреждениях района надбавки к заработной плате 4000 рублей;</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за третий год работы в образовательных учреждениях района надбавки к заработной плате 5000 рублей.</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Приобретать жилье должны молодые специалисты, которые не могут из-за финансовых трудностей платить завышенные ставки по кредитам. Первые несколько лет после окончания вуза самые сложные: войти в коллектив, утвердиться в профессии, набраться опыта, решить самые насущные финансовые проблемы.</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 касается возможности приобретения квартиры по льготным условиям, то нами предлагается следующее.</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сегодняшний день российские банки, выдавая ипотечные кредиты, по-разному рассчитывают месячные платежи по кредиту. Зарубежные коммерческие банки, как правило, используют аннуитетную схему начисления платежей по кредитам. В соответствии с этим порядком заемщик периодически выплачивает банку одну и ту же сумму в счет погашения долга. Даная схема проста и удобна как для заемщика, так и с точки зрения оценки кредитного бремени домашнего хозяйства.</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соответствии с порядком погашения кредита и уплаты процентов в первый платеж заемщика включаются только начисленные проценты за период времени, считая с даты, следующей за датой фактического предоставления кредита, по последнее число текущего месяца. Первый платеж может подлежать внесению во второй платежный период одновременно с платежом за второй период, включающий в себя аннуитетный платёж, состоящий из начисленных процентов и части долга за второй платежный период. Последующие платежи (кроме последнего платежа) должны состоят из ежемесячных платежей, включающих суммы в погашение основного долга и процентов за пользование кредитом. Последний платеж по кредиту должен включать в себя платеж по возврату всей оставшейся суммы долга и платеж по уплате начисленных процентов. Согласно Стандарту, минимально допустимый размер первоначального взноса на покупку жилья должен быть не менее 10% стоимости </w:t>
      </w:r>
      <w:r>
        <w:rPr>
          <w:rFonts w:ascii="Times New Roman CYR" w:hAnsi="Times New Roman CYR" w:cs="Times New Roman CYR"/>
          <w:sz w:val="28"/>
          <w:szCs w:val="28"/>
        </w:rPr>
        <w:lastRenderedPageBreak/>
        <w:t>жилого помещения в соответствии с договором купли-продажи или оценкой независимого оценщика.</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Другая система расчета платежей по кредитам называется дифференцированной в силу того, что размеры месячных платежей заемщика не есть константа, как при аннуитетной схеме, а отличаются друг от друга обычно в сторону уменьшения. Суть этой дифференцированной схемы заключается в начислении процентных платежей по кредиту с суммы уменьшаемого кредитного остатка. В таблице приведен примерный график платежей по кредиту в соответствии с аннуитетеной и дифференцированной системой.</w:t>
      </w:r>
    </w:p>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30</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Примерный график платежей по кредиту в соответствии с аннуитетной и дифференцированной системой начисления.</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48"/>
        <w:gridCol w:w="3600"/>
        <w:gridCol w:w="2991"/>
      </w:tblGrid>
      <w:tr w:rsidR="00FE5AE9">
        <w:trPr>
          <w:jc w:val="center"/>
        </w:trPr>
        <w:tc>
          <w:tcPr>
            <w:tcW w:w="2448"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Параметры ипотечного кредита</w:t>
            </w:r>
          </w:p>
        </w:tc>
        <w:tc>
          <w:tcPr>
            <w:tcW w:w="360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Размер кредита, руб.</w:t>
            </w:r>
          </w:p>
        </w:tc>
        <w:tc>
          <w:tcPr>
            <w:tcW w:w="2991"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1 000 000</w:t>
            </w:r>
          </w:p>
        </w:tc>
      </w:tr>
      <w:tr w:rsidR="00FE5AE9">
        <w:trPr>
          <w:jc w:val="center"/>
        </w:trPr>
        <w:tc>
          <w:tcPr>
            <w:tcW w:w="2448" w:type="dxa"/>
            <w:tcBorders>
              <w:top w:val="single" w:sz="6" w:space="0" w:color="auto"/>
              <w:left w:val="single" w:sz="6" w:space="0" w:color="auto"/>
              <w:bottom w:val="single" w:sz="6" w:space="0" w:color="auto"/>
              <w:right w:val="single" w:sz="6" w:space="0" w:color="auto"/>
            </w:tcBorders>
          </w:tcPr>
          <w:p w:rsidR="00FE5AE9" w:rsidRDefault="00FE5AE9">
            <w:pPr>
              <w:widowControl w:val="0"/>
              <w:autoSpaceDE w:val="0"/>
              <w:autoSpaceDN w:val="0"/>
              <w:adjustRightInd w:val="0"/>
              <w:spacing w:after="0" w:line="240" w:lineRule="auto"/>
              <w:rPr>
                <w:rFonts w:ascii="Times New Roman CYR" w:hAnsi="Times New Roman CYR" w:cs="Times New Roman CYR"/>
                <w:sz w:val="20"/>
                <w:szCs w:val="20"/>
              </w:rPr>
            </w:pPr>
          </w:p>
        </w:tc>
        <w:tc>
          <w:tcPr>
            <w:tcW w:w="360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Годовая процентная ставка, %</w:t>
            </w:r>
          </w:p>
        </w:tc>
        <w:tc>
          <w:tcPr>
            <w:tcW w:w="2991"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r>
      <w:tr w:rsidR="00FE5AE9">
        <w:trPr>
          <w:jc w:val="center"/>
        </w:trPr>
        <w:tc>
          <w:tcPr>
            <w:tcW w:w="2448" w:type="dxa"/>
            <w:tcBorders>
              <w:top w:val="single" w:sz="6" w:space="0" w:color="auto"/>
              <w:left w:val="single" w:sz="6" w:space="0" w:color="auto"/>
              <w:bottom w:val="single" w:sz="6" w:space="0" w:color="auto"/>
              <w:right w:val="single" w:sz="6" w:space="0" w:color="auto"/>
            </w:tcBorders>
          </w:tcPr>
          <w:p w:rsidR="00FE5AE9" w:rsidRDefault="00FE5AE9">
            <w:pPr>
              <w:widowControl w:val="0"/>
              <w:autoSpaceDE w:val="0"/>
              <w:autoSpaceDN w:val="0"/>
              <w:adjustRightInd w:val="0"/>
              <w:spacing w:after="0" w:line="240" w:lineRule="auto"/>
              <w:rPr>
                <w:rFonts w:ascii="Times New Roman CYR" w:hAnsi="Times New Roman CYR" w:cs="Times New Roman CYR"/>
                <w:sz w:val="20"/>
                <w:szCs w:val="20"/>
              </w:rPr>
            </w:pPr>
          </w:p>
        </w:tc>
        <w:tc>
          <w:tcPr>
            <w:tcW w:w="360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Срок кредитования, лет</w:t>
            </w:r>
          </w:p>
        </w:tc>
        <w:tc>
          <w:tcPr>
            <w:tcW w:w="2991"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r>
      <w:tr w:rsidR="00FE5AE9">
        <w:trPr>
          <w:jc w:val="center"/>
        </w:trPr>
        <w:tc>
          <w:tcPr>
            <w:tcW w:w="2448"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Номер месяца (процентный период)</w:t>
            </w:r>
          </w:p>
        </w:tc>
        <w:tc>
          <w:tcPr>
            <w:tcW w:w="6591" w:type="dxa"/>
            <w:gridSpan w:val="2"/>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Месячные платежи по кредиту, руб.</w:t>
            </w:r>
          </w:p>
        </w:tc>
      </w:tr>
      <w:tr w:rsidR="00FE5AE9">
        <w:trPr>
          <w:jc w:val="center"/>
        </w:trPr>
        <w:tc>
          <w:tcPr>
            <w:tcW w:w="2448" w:type="dxa"/>
            <w:tcBorders>
              <w:top w:val="single" w:sz="6" w:space="0" w:color="auto"/>
              <w:left w:val="single" w:sz="6" w:space="0" w:color="auto"/>
              <w:bottom w:val="single" w:sz="6" w:space="0" w:color="auto"/>
              <w:right w:val="single" w:sz="6" w:space="0" w:color="auto"/>
            </w:tcBorders>
          </w:tcPr>
          <w:p w:rsidR="00FE5AE9" w:rsidRDefault="00FE5AE9">
            <w:pPr>
              <w:widowControl w:val="0"/>
              <w:autoSpaceDE w:val="0"/>
              <w:autoSpaceDN w:val="0"/>
              <w:adjustRightInd w:val="0"/>
              <w:spacing w:after="0" w:line="240" w:lineRule="auto"/>
              <w:rPr>
                <w:rFonts w:ascii="Times New Roman CYR" w:hAnsi="Times New Roman CYR" w:cs="Times New Roman CYR"/>
                <w:sz w:val="20"/>
                <w:szCs w:val="20"/>
              </w:rPr>
            </w:pPr>
          </w:p>
        </w:tc>
        <w:tc>
          <w:tcPr>
            <w:tcW w:w="360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Аннуитетный способ</w:t>
            </w:r>
          </w:p>
        </w:tc>
        <w:tc>
          <w:tcPr>
            <w:tcW w:w="2991"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Дифференцированный способ</w:t>
            </w:r>
          </w:p>
        </w:tc>
      </w:tr>
      <w:tr w:rsidR="00FE5AE9">
        <w:trPr>
          <w:jc w:val="center"/>
        </w:trPr>
        <w:tc>
          <w:tcPr>
            <w:tcW w:w="2448"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360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16 192,33</w:t>
            </w:r>
          </w:p>
        </w:tc>
        <w:tc>
          <w:tcPr>
            <w:tcW w:w="2991"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20 662,10</w:t>
            </w:r>
          </w:p>
        </w:tc>
      </w:tr>
      <w:tr w:rsidR="00FE5AE9">
        <w:trPr>
          <w:jc w:val="center"/>
        </w:trPr>
        <w:tc>
          <w:tcPr>
            <w:tcW w:w="2448"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360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16 192,33</w:t>
            </w:r>
          </w:p>
        </w:tc>
        <w:tc>
          <w:tcPr>
            <w:tcW w:w="2991"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20 559,36</w:t>
            </w:r>
          </w:p>
        </w:tc>
      </w:tr>
      <w:tr w:rsidR="00FE5AE9">
        <w:trPr>
          <w:jc w:val="center"/>
        </w:trPr>
        <w:tc>
          <w:tcPr>
            <w:tcW w:w="2448"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360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16 192,33</w:t>
            </w:r>
          </w:p>
        </w:tc>
        <w:tc>
          <w:tcPr>
            <w:tcW w:w="2991"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20 456,62</w:t>
            </w:r>
          </w:p>
        </w:tc>
      </w:tr>
      <w:tr w:rsidR="00FE5AE9">
        <w:trPr>
          <w:jc w:val="center"/>
        </w:trPr>
        <w:tc>
          <w:tcPr>
            <w:tcW w:w="2448"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360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991"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FE5AE9">
        <w:trPr>
          <w:jc w:val="center"/>
        </w:trPr>
        <w:tc>
          <w:tcPr>
            <w:tcW w:w="2448"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118</w:t>
            </w:r>
          </w:p>
        </w:tc>
        <w:tc>
          <w:tcPr>
            <w:tcW w:w="360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16 192,33</w:t>
            </w:r>
          </w:p>
        </w:tc>
        <w:tc>
          <w:tcPr>
            <w:tcW w:w="2991"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8 641,55</w:t>
            </w:r>
          </w:p>
        </w:tc>
      </w:tr>
      <w:tr w:rsidR="00FE5AE9">
        <w:trPr>
          <w:jc w:val="center"/>
        </w:trPr>
        <w:tc>
          <w:tcPr>
            <w:tcW w:w="2448"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119</w:t>
            </w:r>
          </w:p>
        </w:tc>
        <w:tc>
          <w:tcPr>
            <w:tcW w:w="360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16 192,33</w:t>
            </w:r>
          </w:p>
        </w:tc>
        <w:tc>
          <w:tcPr>
            <w:tcW w:w="2991"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8 538,81</w:t>
            </w:r>
          </w:p>
        </w:tc>
      </w:tr>
      <w:tr w:rsidR="00FE5AE9">
        <w:trPr>
          <w:jc w:val="center"/>
        </w:trPr>
        <w:tc>
          <w:tcPr>
            <w:tcW w:w="2448"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w:t>
            </w:r>
          </w:p>
        </w:tc>
        <w:tc>
          <w:tcPr>
            <w:tcW w:w="360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16 192,33</w:t>
            </w:r>
          </w:p>
        </w:tc>
        <w:tc>
          <w:tcPr>
            <w:tcW w:w="2991"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8 436,07</w:t>
            </w:r>
          </w:p>
        </w:tc>
      </w:tr>
      <w:tr w:rsidR="00FE5AE9">
        <w:trPr>
          <w:jc w:val="center"/>
        </w:trPr>
        <w:tc>
          <w:tcPr>
            <w:tcW w:w="2448"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3600"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1 943 079,66</w:t>
            </w:r>
          </w:p>
        </w:tc>
        <w:tc>
          <w:tcPr>
            <w:tcW w:w="2991"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1 7458 90,41</w:t>
            </w:r>
          </w:p>
        </w:tc>
      </w:tr>
    </w:tbl>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же сравнивать размеры месячных платежей, рассчитанных по аннуитетному и дифференцированному способу, то разница между ними может достигать 50%. Для педагогов и работников системы образования это очень значительная сумма.</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Нами предлагается для уменьшения ставок по кредитам, увеличения доступности жилья для педагогов выдавать кредиты и рассчитывать по ним ставки по так называемому, дифференцированно-аннуитетному способу.</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Это означает, что получив надбавку к заработной плате от 3000 до 5 000 руб., заработная плата увеличится и составит около 15. 000 руб.</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Аннуитетно-дифференцированный способ начисления процентных ставок по кредитам педагогическим работникам поможет четко знать определенную сумму, подлежащую уплате каждый месяц, которая, будет составлять около 8 000 рублей в месяц.</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сумма экономии с одного кредита (уменьшение кредитного бремени) в сумме 1.000.000 руб., годовой процентной ставке 15% и сроке кредитования 10 лет составит 197. 189, 25 руб.</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Существуют три критерия, которые будут учитываться при предоставлении льготного жилья. Жилищные условия будут улучшаться не всем молодым специалистам, а в первую очередь тем, кто с точки зрения города признан нуждающимся в этом. Квартиры будут предоставлять тем выпускникам вузов, молодым специалистам, чьи семьи стоят в очереди на улучшение жилищных условий. Но чтобы расширить круг тех, кто сможет воспользоваться новой программой, должны разрабатываться разные варианты, ориентированные не только на тех, кто стоит в очереди. Особое внимание будет уделяться семьям, где есть дети.</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Представленные выше мероприятия помогут привлечь в школы города и района молодых учителей и решат кадровые проблемы стоящие перед школами в настоящее время, а так же поспособствуют повышению социального статуса учителей и омоложению кадров в школах.</w:t>
      </w:r>
    </w:p>
    <w:p w:rsidR="00FE5AE9" w:rsidRDefault="00FE5AE9">
      <w:pPr>
        <w:widowControl w:val="0"/>
        <w:tabs>
          <w:tab w:val="left" w:pos="428"/>
          <w:tab w:val="left" w:pos="1302"/>
          <w:tab w:val="left" w:pos="9344"/>
        </w:tabs>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tabs>
          <w:tab w:val="left" w:pos="428"/>
          <w:tab w:val="left" w:pos="1302"/>
          <w:tab w:val="left" w:pos="9344"/>
        </w:tabs>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3.2 Организация горячего питания в школах</w:t>
      </w:r>
    </w:p>
    <w:p w:rsidR="00FE5AE9" w:rsidRDefault="00FE5AE9">
      <w:pPr>
        <w:widowControl w:val="0"/>
        <w:tabs>
          <w:tab w:val="left" w:pos="428"/>
          <w:tab w:val="left" w:pos="1302"/>
          <w:tab w:val="left" w:pos="9344"/>
        </w:tabs>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Организацию горячего питания в школе можно рассматривать как здоровье сберегающую технологию, дополняющую образовательные технологии сохранения и укрепления здоровья учащихся.</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Проблема организации питания школьников в настоящее время очень актуальна, поскольку в Чеховском районе наблюдается тенденция ухудшения состояния здоровья большинства детей. Немалую роль в этом играет неправильно или не достаточно качественно организованный процесс питания, в силу этого, необходимо предпринять шаги по пересмотру сегодняшней системы обеспечения школьников горячими завтраками и обедами, предусмотреть в бюджете добавочные средства на закупку оборудования, сырья.</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Питание школьников включает в себя:</w:t>
      </w:r>
    </w:p>
    <w:p w:rsidR="00FE5AE9" w:rsidRDefault="00920100">
      <w:pPr>
        <w:widowControl w:val="0"/>
        <w:tabs>
          <w:tab w:val="left" w:pos="0"/>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lastRenderedPageBreak/>
        <w:t></w:t>
      </w:r>
      <w:r>
        <w:rPr>
          <w:rFonts w:ascii="Symbol" w:hAnsi="Symbol" w:cs="Symbol"/>
          <w:sz w:val="28"/>
          <w:szCs w:val="28"/>
        </w:rPr>
        <w:tab/>
      </w:r>
      <w:r>
        <w:rPr>
          <w:rFonts w:ascii="Times New Roman CYR" w:hAnsi="Times New Roman CYR" w:cs="Times New Roman CYR"/>
          <w:sz w:val="28"/>
          <w:szCs w:val="28"/>
        </w:rPr>
        <w:t>Организационные аспекты (рациональная организация работы школьной столовой, эстетическое оформление столовой, организация специального питания для учащихся с заболеваниями, требующими диеты, обеспечение школы питьевой водой);</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Медико-гигиенические аспекты (контроль за гигиеническим состоянием пищеблока, контроль за ассортиментом и составом блюд, исходными продуктами);</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Воспитательные задачи (формирование у школьников культуры поведения за столом, организация дежурства в столовой, самообслуживание учащихся);</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Учебно-информационные аспекты (отбор информации о правильном, рациональном питании для учащихся в течение всего периода обучения, культура здоровья);</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Кадровые аспекты, мониторинг.</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последние 5 лет средний процент школьников Чеховского района, получающих завтраки и обеды из трех горячих блюд, уменьшился с 68% до 25%. Из них 68-70% приходится на учеников младших классов. Только 22% старшеклассников и учащихся средних классов едят горячие блюда в школьной столовой. Многие из них питаются в школе потому, что получают дотации по социальным показаниям. Дополнительно все ученики начальной школы получают бесплатно стакан молока и булочку. Их оплачивает областной бюджет.</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составлению полноценного рациона школьника требуется глубокий подход с учетом специфики детского организма. Освоение школьных программ требует от детей высокой умственной активности. Маленький человек, приобщающийся к знаниям, не только выполняет тяжелый труд, но одновременно и растет, развивается, и для всего этого он должен получать полноценное питание. Напряженная умственная деятельность, непривычная для </w:t>
      </w:r>
      <w:r>
        <w:rPr>
          <w:rFonts w:ascii="Times New Roman CYR" w:hAnsi="Times New Roman CYR" w:cs="Times New Roman CYR"/>
          <w:sz w:val="28"/>
          <w:szCs w:val="28"/>
        </w:rPr>
        <w:lastRenderedPageBreak/>
        <w:t>первоклассников, связана со значительными затратами энергии.</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Ясно, что без качественного питания не будет и здоровых детей. А в данном случае это напрямую зависит от оснащения школьных столовых.</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мнению специалистов, полноценный здоровый и горячий завтрак состоит из салата или фруктов, горячего второго блюда - мясного или рыбного с гарниром, чая и выпечки. Обычный чеховский школьник предпочитает перекусывать чаем и булочкой, пиццей или чипсами. Учащимся среднего и старшего звена необходимо иметь выбор при организации питания. Обеспечить его в настоящее время крайне сложно, но работа в этом направлении ведется. Особенно важно хорошо питаться гимназистам и лицеистам, чтобы успешно выдерживать интеллектуальные нагрузки.</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Современный школьник, по мнению диетологов, должен есть не менее четырех раз в день, причем на завтрак, обед и ужин непременно должно быть горячее блюдо. По данным исследований, проведенных в школах Чеховского района, были выявлены наиболее острые проблемы в организации горячего питания: в целом по району износ производственного оборудования достиг 100 процентов, холодильники, плиты - оборудование, необходимое для приготовления качественной пищи - работают в аварийном режиме.</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Чеховского района необходимо организовывать и внедрять систему школьного питания, главными целями которой будут повышение качества, сбалансированности и доступности.</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Существуют следующие варианты организации горячего питания в образовательных учреждениях, не имеющих пищеблоков:</w:t>
      </w:r>
    </w:p>
    <w:p w:rsidR="00FE5AE9" w:rsidRDefault="00920100">
      <w:pPr>
        <w:widowControl w:val="0"/>
        <w:tabs>
          <w:tab w:val="left" w:pos="0"/>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использование пищеблоков дошкольных образовательных учреждений и имеющихся предприятий общественного питания для приготовления горячих завтраков для школьников, подвоз в термосах и реализация через имеющиеся буфеты и буфеты-раздатки;</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lastRenderedPageBreak/>
        <w:t></w:t>
      </w:r>
      <w:r>
        <w:rPr>
          <w:rFonts w:ascii="Symbol" w:hAnsi="Symbol" w:cs="Symbol"/>
          <w:sz w:val="28"/>
          <w:szCs w:val="28"/>
        </w:rPr>
        <w:tab/>
      </w:r>
      <w:r>
        <w:rPr>
          <w:rFonts w:ascii="Times New Roman CYR" w:hAnsi="Times New Roman CYR" w:cs="Times New Roman CYR"/>
          <w:sz w:val="28"/>
          <w:szCs w:val="28"/>
        </w:rPr>
        <w:t>организация горячего питания школьников на базе дошкольных образовательных учреждений</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организация горячего питания школьников на базе близлежащих предприятий общественного питания</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реконструкция и оснащение оборудованием имеющихся буфетов, буфетов - раздаток под пищеблоки, работающие на полуфабрикатах, пока дети получают набор из сока, фруктов и кондитерских изделий.</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наш взгляд, из перечня существующих мероприятий самым действенным станет приготовление обедов на базе существующей в городе Столовой № 3. Необходимо готовить обеды на данном базовом комбинате и сразу же замораживать.</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Развоз их по 34 школьным столовым будет осуществляется на грузовиках с изотермическими кузовами в соответствии с графиком перемен в школах (Управлением образования на эти цели необходимо закупить автомашины).</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Подобная система организации горячего питания успешно внедрена в общеобразовательных учреждениях города Казани. В школьных столовых продукты разогреваются до требуемой температуры в пароконвектоматах. Система самодиагностики пароконвектоматов позволяет заранее запрограммировать начало приготовления блюд, а функция быстрого охлаждения - охладить камеру за несколько минут.</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Пароконвектоматы используются для поджаривания (мяса, рыбы, выпекания хлеба, кондитерских изделий, а также для гриля и поджаривания в сухарях и пр.); для приготовления пищи на пару (для варки овощей, приготовления суфле, паштетов и всего того, что можно готовить на пару - это может быть рис, особые виды рыбы, для которых необходимо деликатное приготовление); конвекционный режим (смешанный режим приготовления 270oC с паром); регенерация (предварительно приготовленных и замороженных </w:t>
      </w:r>
      <w:r>
        <w:rPr>
          <w:rFonts w:ascii="Times New Roman CYR" w:hAnsi="Times New Roman CYR" w:cs="Times New Roman CYR"/>
          <w:sz w:val="28"/>
          <w:szCs w:val="28"/>
        </w:rPr>
        <w:lastRenderedPageBreak/>
        <w:t>в шоковой заморозке продуктов).</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Остается только констатировать, что новая система горячего школьного питания в Республике Татарстан хорошо себя зарекомендовала. С ее введением работать стало комфортнее и быстрее.</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введением новой системы питания и установкой нового оборудования в столовых старых школ, где не было разделения цехов приготовления пищи, дети теперь получают полноценный горячий обед. При этом не нарушаются санитарные правила и нормы (раньше не все они выполнялись в должном объеме). Штат столовой остался тот же, но намного расширился ассортимент.</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организация горячего питания в общеобразовательных учреждениях обеспечит сбалансированность питания школьников; улучшит качество питания школьников и обеспечит его безопасность; улучшит показатели здоровья и создаст благоприятные условий для его сохранения и укрепления, нормального роста и развития детей.</w:t>
      </w:r>
    </w:p>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3.3 Информатизация системы образования Чеховского района</w:t>
      </w:r>
    </w:p>
    <w:p w:rsidR="00FE5AE9" w:rsidRDefault="00FE5AE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Система образования Чеховского района включает 81 образовательное учреждение, в том числе школы, детские сады, учреждения начального и среднего профессионального образования, учреждения дополнительного образования детей, районный отдел образования. Для более эффективного управления такой системой необходимо создание образовательной информационной среды, которая должна обеспечить единство образовательного пространства на всей территории района, создать условия для поэтапного перехода к новому уровню образования на основе информационных технологий, способствовать повышению качества образования во всех образовательных </w:t>
      </w:r>
      <w:r>
        <w:rPr>
          <w:rFonts w:ascii="Times New Roman CYR" w:hAnsi="Times New Roman CYR" w:cs="Times New Roman CYR"/>
          <w:sz w:val="28"/>
          <w:szCs w:val="28"/>
        </w:rPr>
        <w:lastRenderedPageBreak/>
        <w:t>учреждениях области.</w:t>
      </w:r>
    </w:p>
    <w:p w:rsidR="00FE5AE9" w:rsidRDefault="0092010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последние годы в районе удалось достичь следующих результатов:</w:t>
      </w:r>
    </w:p>
    <w:p w:rsidR="00FE5AE9" w:rsidRDefault="00920100" w:rsidP="001B7D3A">
      <w:pPr>
        <w:widowControl w:val="0"/>
        <w:numPr>
          <w:ilvl w:val="0"/>
          <w:numId w:val="1"/>
        </w:numPr>
        <w:shd w:val="clear" w:color="auto" w:fill="FFFFFF"/>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Чеховском районе созданы, предпосылки для развития единой образовательной информационной среды:</w:t>
      </w:r>
    </w:p>
    <w:p w:rsidR="00FE5AE9" w:rsidRDefault="00920100" w:rsidP="001B7D3A">
      <w:pPr>
        <w:widowControl w:val="0"/>
        <w:numPr>
          <w:ilvl w:val="0"/>
          <w:numId w:val="1"/>
        </w:numPr>
        <w:shd w:val="clear" w:color="auto" w:fill="FFFFFF"/>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Образовательные учреждения Чеховского района (сельские и городские средние и основные школы, учреждения начального профессионального образования, специальные (коррекционные) учебные заведения и детские дома) укомплектованы необходимым количеством новой компьютерной техники. В настоящее время, в среднем один компьютер в Чеховском районе приходится на 27 учащихся.</w:t>
      </w:r>
    </w:p>
    <w:p w:rsidR="00FE5AE9" w:rsidRDefault="00920100">
      <w:pPr>
        <w:widowControl w:val="0"/>
        <w:shd w:val="clear" w:color="auto" w:fill="FFFFFF"/>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Часть образовательных учреждений в Чеховском районе получила доступ к сети Интернет, 5 образовательных учреждений города в настоящий момент принимают спутниковый общеобразовательный информационный канал.</w:t>
      </w:r>
    </w:p>
    <w:p w:rsidR="00FE5AE9" w:rsidRDefault="00920100" w:rsidP="001B7D3A">
      <w:pPr>
        <w:widowControl w:val="0"/>
        <w:numPr>
          <w:ilvl w:val="0"/>
          <w:numId w:val="2"/>
        </w:numPr>
        <w:shd w:val="clear" w:color="auto" w:fill="FFFFFF"/>
        <w:tabs>
          <w:tab w:val="left" w:pos="0"/>
          <w:tab w:val="left" w:pos="638"/>
          <w:tab w:val="left" w:pos="12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Создан и функционирует научно-методический центр информационных технологий в образовании, который осуществляет научно-методическое и техническое сопровождение работы Чеховского образовательного портала.</w:t>
      </w:r>
    </w:p>
    <w:p w:rsidR="00FE5AE9" w:rsidRDefault="00920100" w:rsidP="001B7D3A">
      <w:pPr>
        <w:widowControl w:val="0"/>
        <w:numPr>
          <w:ilvl w:val="0"/>
          <w:numId w:val="2"/>
        </w:numPr>
        <w:shd w:val="clear" w:color="auto" w:fill="FFFFFF"/>
        <w:tabs>
          <w:tab w:val="left" w:pos="0"/>
          <w:tab w:val="left" w:pos="638"/>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Городские и сельские образовательные учреждения Чеховского района получили комплекты электронных учебных пособий для информационного сопровождения учебного процесса, а также комплекты медиатек для библиотечного фонда.</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Тем не менее, существует ряд проблем, требующих решения. Распространение через образование современных технологий ведется слишком медленными темпами. Практически половину (48%) компьютерного парка в общеобразовательных школах Чехова (351 компьютер) составляют компьютеры, установленные до 2000 года и не соответствующие современным требованиям, не позволяющие устанавливать современные операционные системы. Кроме того, наблюдается неравномерное обеспечение школ компьютерной техникой. В </w:t>
      </w:r>
      <w:r>
        <w:rPr>
          <w:rFonts w:ascii="Times New Roman CYR" w:hAnsi="Times New Roman CYR" w:cs="Times New Roman CYR"/>
          <w:sz w:val="28"/>
          <w:szCs w:val="28"/>
        </w:rPr>
        <w:lastRenderedPageBreak/>
        <w:t>ряде школ на 1 компьютер приходится по 100 и более учащихся (МОУ СОШ №№ 2, 8, 9,, в других - от 30 до 50 человек, в МОУ СОШ № 4 на 1 компьютер приходится 214 учеников. Получение за последние три года по федеральной программе 176 компьютеров (24%), безусловно, не может обеспечить современную потребность реализации образовательного процесса. Малое количество компьютеров в школе не позволяет использовать их в учебном процессе.</w:t>
      </w:r>
    </w:p>
    <w:p w:rsidR="00FE5AE9" w:rsidRDefault="0092010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Поэтому новой задачей, стоящей перед информатизацией образования района, является реализация мероприятий по системному внедрению и активному использованию информационных и коммуникационных технологий, ориентирующих образовательную систему области на вхождение в глобальное информационное общество.</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Технический прогресс не стоит на месте, а, следовательно, для более эффективного использования уже поставленного и вновь приобретаемого мультимедийного и компьютерного оборудования требуется перманентное совершенствование системы эффективного использования последних.</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сегодняшний день отдельную нерешенную проблему представляют собой качество и разобщенность средств информатизации, применяемых в образовательных целях. Несмотря на то, что с каждым годом выпуск подобных средств неуклонно растет, большинство из них являются не до конца проработанными, находящимися в стадии развития. Множество актуальных нерешенных задач порождает качество создаваемых и распространяемых средств информатизации образования, наличие в их содержании смысловых циклов и внутренних противоречий, отсутствие полноты и явно выделенной четкой структуры учебного материала.</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сегодняшний день еще не все образовательные учреждения в Чеховском районе (учреждения дополнительного и дошкольного образования, начальные </w:t>
      </w:r>
      <w:r>
        <w:rPr>
          <w:rFonts w:ascii="Times New Roman CYR" w:hAnsi="Times New Roman CYR" w:cs="Times New Roman CYR"/>
          <w:sz w:val="28"/>
          <w:szCs w:val="28"/>
        </w:rPr>
        <w:lastRenderedPageBreak/>
        <w:t>школы) имеют компьютерную технику в необходимом количестве и качестве, большинство не подключены к телекоммуникационной сети, что затрудняет интеграцию Чеховского района в единое образовательное информационное пространство Московского региона.</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подчеркнуть повсеместное отсутствие интерфейсной, технологической, содержательной и информационной связи между отдельными средствами информатизации образования. Подобные средства никак не связаны между собой и неоправданно дублируют одну и ту же информацию, что приводит к содержательным и методологическим коллизиям. Средства, задействованные в процессах информатизации образования, требуют принципиально различных методических и технологических подходов, накладывают существенные требования на знания и умения обучаемых, что отрицательно сказывается на эффективности системы подготовки кадров района.</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мероприятиями в рамках информатизации Чеховского района должны стать:</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Мониторинг по определению уровня информатизации в учебных заведениях района</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Совершенствование системы методических, ресурсных, сервисных и других центров, обеспечивающих реализацию программы информатизации образования Чеховского района</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Развитие материально-технической базы научно-методического центра информационных технологий в образовании</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Приобретение компьютерного оборудования для учреждений дополнительного образования и педагогических образовательных учреждений среднего профессионального образования</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Обеспечение органов управления образованием современными средствами информатизации</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Поддержка и развитие регионального образовательного сервера</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Оплата канала Интернет для обеспечения курсов повышения квалификации работников образования</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Оплата услуг по передаче информации и документов через спутниковый канал</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Приобретение и разработка электронных учебных пособий</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Повышение квалификации и профессиональная переподготовка педагогических, административных, научно-методических, инженерно-технических кадров в области новых информационных технологий</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Развитие материально-технической базы кабинетов информатики образовательных учреждений района (приобретение мебели, сетевого оборудования)</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Поддержка технического обслуживания компьютерных и телекоммуникационных систем</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Монтаж, ввод в эксплуатацию компьютерного и сетевого оборудования для образовательных учреждений</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Нами предлагается разработать процесс сбора данных о школах района. Это означает, что будет происходить сбор интегрированных данных по школам района, затем данные будут интегрироваться в данные показатели, а затем уже в региональные. (Рис. 7)</w:t>
      </w:r>
    </w:p>
    <w:p w:rsidR="00FE5AE9" w:rsidRDefault="00920100">
      <w:pPr>
        <w:widowControl w:val="0"/>
        <w:tabs>
          <w:tab w:val="left" w:pos="27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реализации такого процесса сбора данных структуры системы мониторинга и используемой базы данных должны быть модульными. Данный принцип позволит организовать все функционально-логические модули системы:</w:t>
      </w:r>
    </w:p>
    <w:p w:rsidR="00FE5AE9" w:rsidRDefault="00920100">
      <w:pPr>
        <w:widowControl w:val="0"/>
        <w:tabs>
          <w:tab w:val="left" w:pos="0"/>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модуль «Хранилище данных мониторинга», предназначенный для хранения данных мониторинга (пользователи, формы);</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модуль «Сбор информации», представляющий собой средства </w:t>
      </w:r>
      <w:r>
        <w:rPr>
          <w:rFonts w:ascii="Times New Roman CYR" w:hAnsi="Times New Roman CYR" w:cs="Times New Roman CYR"/>
          <w:sz w:val="28"/>
          <w:szCs w:val="28"/>
        </w:rPr>
        <w:lastRenderedPageBreak/>
        <w:t>анкетирования школ, районов, области;</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модуль «Администрирование», предназначенный для работы администратора системы с информацией о пользователях (добавление, удаление, редактирование) и администрирования модуля «Хранилище данных мониторинга».</w:t>
      </w:r>
    </w:p>
    <w:p w:rsidR="00FE5AE9" w:rsidRDefault="00920100">
      <w:pPr>
        <w:widowControl w:val="0"/>
        <w:tabs>
          <w:tab w:val="left" w:pos="27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Система должна предоставлять средства по реализации соответствующих возможностей каждому типу пользователей по наполнению данными, просмотру результатов анкетирования. На первоначальном этапе реализации системы необходимо просмотр базовых статистических показателей анкетирования.</w:t>
      </w:r>
    </w:p>
    <w:p w:rsidR="00FE5AE9" w:rsidRDefault="00920100">
      <w:pPr>
        <w:widowControl w:val="0"/>
        <w:tabs>
          <w:tab w:val="left" w:pos="27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базовом варианте системы предполагается реализация средств администрирования, контроля корректности ввода данных пользователем. Данные средства также должны предоставлять возможности по управлению (создание, редактирование, удаление) пользователей всех типов. Используя эти средства необходимо создать базу данных не только по данным мониторинга, но и по объектам мониторинга - школам, районам области, региона в целом.</w:t>
      </w:r>
    </w:p>
    <w:p w:rsidR="00FE5AE9" w:rsidRDefault="00920100">
      <w:pPr>
        <w:widowControl w:val="0"/>
        <w:tabs>
          <w:tab w:val="left" w:pos="27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Разработка интерфейсов взаимодействия пользователей и системы должны представлять собой интуитивно понятные, но в тоже время, функционально полные средства. Эта задача представляет собой достаточно важной при создании системы для объектов образования региона.</w:t>
      </w:r>
    </w:p>
    <w:p w:rsidR="00FE5AE9" w:rsidRDefault="00920100">
      <w:pPr>
        <w:widowControl w:val="0"/>
        <w:tabs>
          <w:tab w:val="left" w:pos="27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связи с конфиденциальностью данных непременным условием является обеспечение достаточного уровня безопасности системы и авторизованного доступа к системе мониторинга, а также распределением привилегий на администрирование данной системы. Необходима также система резервного копирования данных.</w:t>
      </w:r>
    </w:p>
    <w:p w:rsidR="00FE5AE9" w:rsidRDefault="00920100">
      <w:pPr>
        <w:widowControl w:val="0"/>
        <w:tabs>
          <w:tab w:val="left" w:pos="27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Предполагается выбор наиболее оптимальных информационных и лингвистических средств обеспечения проекта. Данные средства должны удовлетворять всем требованиям, налагаемым на структуру, возможностям </w:t>
      </w:r>
      <w:r>
        <w:rPr>
          <w:rFonts w:ascii="Times New Roman CYR" w:hAnsi="Times New Roman CYR" w:cs="Times New Roman CYR"/>
          <w:sz w:val="28"/>
          <w:szCs w:val="28"/>
        </w:rPr>
        <w:lastRenderedPageBreak/>
        <w:t>системы.</w:t>
      </w:r>
    </w:p>
    <w:p w:rsidR="00FE5AE9" w:rsidRDefault="00FE5AE9">
      <w:pPr>
        <w:widowControl w:val="0"/>
        <w:tabs>
          <w:tab w:val="left" w:pos="2700"/>
        </w:tabs>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1B7D3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988560" cy="2488565"/>
            <wp:effectExtent l="0" t="0" r="254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88560" cy="2488565"/>
                    </a:xfrm>
                    <a:prstGeom prst="rect">
                      <a:avLst/>
                    </a:prstGeom>
                    <a:noFill/>
                    <a:ln>
                      <a:noFill/>
                    </a:ln>
                  </pic:spPr>
                </pic:pic>
              </a:graphicData>
            </a:graphic>
          </wp:inline>
        </w:drawing>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Рис.7 Ярусный процесс сбора данных</w:t>
      </w:r>
    </w:p>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Социальная значимость информатизации образования связана с развитием данной сферы как национального приоритета страны, затрагивающего жизненно важные интересы всех групп населения. В свою очередь, повышение качества и доступности образовательных услуг базируются на использовании современных информационных и коммуникационных технологий.</w:t>
      </w:r>
    </w:p>
    <w:p w:rsidR="00FE5AE9" w:rsidRDefault="00920100">
      <w:pPr>
        <w:widowControl w:val="0"/>
        <w:tabs>
          <w:tab w:val="left" w:pos="428"/>
          <w:tab w:val="left" w:pos="1302"/>
          <w:tab w:val="left" w:pos="9344"/>
        </w:tabs>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br w:type="page"/>
      </w:r>
      <w:r>
        <w:rPr>
          <w:rFonts w:ascii="Times New Roman CYR" w:hAnsi="Times New Roman CYR" w:cs="Times New Roman CYR"/>
          <w:caps/>
          <w:sz w:val="28"/>
          <w:szCs w:val="28"/>
        </w:rPr>
        <w:lastRenderedPageBreak/>
        <w:t>3.4 Разработка программных мероприятий по развитию сферы образования Чеховского района</w:t>
      </w:r>
    </w:p>
    <w:p w:rsidR="00FE5AE9" w:rsidRDefault="00FE5AE9">
      <w:pPr>
        <w:widowControl w:val="0"/>
        <w:tabs>
          <w:tab w:val="left" w:pos="900"/>
          <w:tab w:val="left" w:pos="9344"/>
        </w:tabs>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tabs>
          <w:tab w:val="left" w:pos="900"/>
          <w:tab w:val="left" w:pos="934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инноваций - нововведений, деятельности, получившей реализацию вследствие усовершенствования процессов, выявил недостаточное количество таких методик в Чеховском районе и необходимость разработки программы, направленной на дальнейшее развитие творческого потенциала детей.</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условиях развития экономики знаний необходимо создать условия для формирования национальной инновационной системы, способной обеспечить интеграцию сферы образования, науки и экономики.</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Необходимо создавать механизмы преодоления постоянного отставания системы образования от тех знаний и технологий, на которых строится современное общество.</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Приложении 1 представлена Программа развития сферы образования Чеховского района.</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Программа дальнейшего развития предполагает проведение инновационной деятельности с детьми и школьниками, которая включает в себя:</w:t>
      </w:r>
    </w:p>
    <w:p w:rsidR="00FE5AE9" w:rsidRDefault="00920100">
      <w:pPr>
        <w:widowControl w:val="0"/>
        <w:tabs>
          <w:tab w:val="left" w:pos="0"/>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Создание детских садов комбинированного вида, которые будут сочетать в себе общее, развивающее воспитание;</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Создание на основе школ детских садов;</w:t>
      </w:r>
    </w:p>
    <w:p w:rsidR="00FE5AE9" w:rsidRDefault="00920100">
      <w:pPr>
        <w:widowControl w:val="0"/>
        <w:tabs>
          <w:tab w:val="left" w:pos="0"/>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Подбор и адаптация новых технологий, методик, форм работы с детьми, выявление уровня умственного развития детей.</w:t>
      </w:r>
    </w:p>
    <w:p w:rsidR="00FE5AE9" w:rsidRDefault="00920100">
      <w:pPr>
        <w:widowControl w:val="0"/>
        <w:tabs>
          <w:tab w:val="left" w:pos="0"/>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Внедрение экологического воспитания;</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w:t>
      </w:r>
      <w:r>
        <w:rPr>
          <w:rFonts w:ascii="Times New Roman CYR" w:hAnsi="Times New Roman CYR" w:cs="Times New Roman CYR"/>
          <w:sz w:val="28"/>
          <w:szCs w:val="28"/>
        </w:rPr>
        <w:tab/>
        <w:t>Расширение сети дополнительных услуг (кружков, секций);</w:t>
      </w:r>
    </w:p>
    <w:p w:rsidR="00FE5AE9" w:rsidRDefault="00920100">
      <w:pPr>
        <w:widowControl w:val="0"/>
        <w:tabs>
          <w:tab w:val="left" w:pos="0"/>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6.</w:t>
      </w:r>
      <w:r>
        <w:rPr>
          <w:rFonts w:ascii="Times New Roman CYR" w:hAnsi="Times New Roman CYR" w:cs="Times New Roman CYR"/>
          <w:sz w:val="28"/>
          <w:szCs w:val="28"/>
        </w:rPr>
        <w:tab/>
        <w:t>Организация физического воспитания на основе диагностики данных углубленного осмотра детей с комплексной оценкой их здоровья, обеспечение дифференцированного подхода в укреплении здоровья детей.</w:t>
      </w:r>
    </w:p>
    <w:p w:rsidR="00FE5AE9" w:rsidRDefault="00920100">
      <w:pPr>
        <w:widowControl w:val="0"/>
        <w:tabs>
          <w:tab w:val="left" w:pos="0"/>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Для поддержки одаренных детей в школах необходимо разработать и осуществить специальные программы, организовать олимпиады, конкурсы, выпускникам выдаются целевые направления для поступления в ВУЗы.</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8.</w:t>
      </w:r>
      <w:r>
        <w:rPr>
          <w:rFonts w:ascii="Times New Roman CYR" w:hAnsi="Times New Roman CYR" w:cs="Times New Roman CYR"/>
          <w:sz w:val="28"/>
          <w:szCs w:val="28"/>
        </w:rPr>
        <w:tab/>
        <w:t>Создание мини-кружков для детей с ограниченными возможностями здоровья на базе школ и т.д.</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программа дальнейшего развития системы образования Чеховского района будет направлена на творческое, духовное развитие детей.</w:t>
      </w:r>
    </w:p>
    <w:p w:rsidR="00FE5AE9" w:rsidRDefault="00FE5AE9">
      <w:pPr>
        <w:widowControl w:val="0"/>
        <w:tabs>
          <w:tab w:val="left" w:pos="9344"/>
        </w:tabs>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tabs>
          <w:tab w:val="left" w:pos="9344"/>
        </w:tabs>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3.5 Экономическая (социальная) оценка мероприятий, направленных на совершенствование системы управления сферой образования Чеховского муниципального района Московской области</w:t>
      </w:r>
    </w:p>
    <w:p w:rsidR="00FE5AE9" w:rsidRDefault="00FE5AE9">
      <w:pPr>
        <w:widowControl w:val="0"/>
        <w:tabs>
          <w:tab w:val="left" w:pos="990"/>
        </w:tabs>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tabs>
          <w:tab w:val="left" w:pos="99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Мероприятие, рассмотренное в п. 3.1 по привлечению молодых педагогов в образовательные учреждения района включает выдачу льготных кредитов по аннуитетно- дифференцированной системе и прибавление к заработной плате:</w:t>
      </w:r>
    </w:p>
    <w:p w:rsidR="00FE5AE9" w:rsidRDefault="00920100">
      <w:pPr>
        <w:widowControl w:val="0"/>
        <w:tabs>
          <w:tab w:val="left" w:pos="0"/>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за первый год работы в образовательных учреждениях района надбавки к заработной плате 3000 рублей;</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за второй год работы в образовательных учреждениях района надбавки к заработной плате 4000 рублей;</w:t>
      </w:r>
    </w:p>
    <w:p w:rsidR="00FE5AE9" w:rsidRDefault="00920100">
      <w:pPr>
        <w:widowControl w:val="0"/>
        <w:tabs>
          <w:tab w:val="left" w:pos="0"/>
          <w:tab w:val="left" w:pos="99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за третий год работы в образовательных учреждениях района надбавки к заработной плате 5000 рублей.</w:t>
      </w:r>
    </w:p>
    <w:p w:rsidR="00FE5AE9" w:rsidRDefault="00920100">
      <w:pPr>
        <w:widowControl w:val="0"/>
        <w:tabs>
          <w:tab w:val="left" w:pos="99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прибавка в среднем составит 4000 руб. Несомненно, при средней заработной плате в Чеховском районе 8 000 руб. данная прибавка будет составлять 50% от уровня заработной платы и будет достаточно существенной.</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Кроме того, кредитно- аннуитетная система начисления платежей по кредитам, по мнению автора дипломной работы, обяжет кредитные организации </w:t>
      </w:r>
      <w:r>
        <w:rPr>
          <w:rFonts w:ascii="Times New Roman CYR" w:hAnsi="Times New Roman CYR" w:cs="Times New Roman CYR"/>
          <w:sz w:val="28"/>
          <w:szCs w:val="28"/>
        </w:rPr>
        <w:lastRenderedPageBreak/>
        <w:t>в договоре с заемщиком полную стоимость кредитов с учетом всех дополнительных платежей и комиссий, а также показывать эффективные процентные ставки по кредитам. Например, единовременная комиссия ЗАО «Газпромбанк» за рассмотрение кредитной заявки составляет</w:t>
      </w:r>
    </w:p>
    <w:p w:rsidR="00FE5AE9" w:rsidRDefault="00920100">
      <w:pPr>
        <w:widowControl w:val="0"/>
        <w:tabs>
          <w:tab w:val="left" w:pos="99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1000 руб., единовременная комиссия за подготовку пакета документов при предоставлении кредита - 1,5% от суммы кредита. Сбербанк России также взимает единовременные комиссии за обслуживание ссудного счета в размере 0,5% от суммы кредита (не менее 3000 руб., но не более 10000 руб.). Подобная практика широко распространена банками, участвующими в системе ипотечного кредитования, и направлена на повышение доходности банковских операций за счет увеличения транзакционных издержек кредитополучателей.</w:t>
      </w:r>
    </w:p>
    <w:p w:rsidR="00FE5AE9" w:rsidRDefault="00920100">
      <w:pPr>
        <w:widowControl w:val="0"/>
        <w:tabs>
          <w:tab w:val="left" w:pos="99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кредитная нагрузка будет ограничиваться только выплатами по кредитным займам.</w:t>
      </w:r>
    </w:p>
    <w:p w:rsidR="00FE5AE9" w:rsidRDefault="009201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Предложенное в п. 3.2 мероприятие по организации горячего питания предполагает изготовление пищи на базе городской Столовой и ее развоз на грузовиках с изотермическими кузовами.</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Производством указанных грузовиков занимается российская компания «Тонар», в деловом содружестве с зарубежными фирмами ей накоплен солидный опыт и собственной технологии производства изотермических автокузовов, основой которых служат "сэндвич - панели". Конструкторским отделом завода создана прочная долговечная конструкция таких кузовов минимального веса с учётом отечественных условий эксплуатации. Всё это позволяет производить продукцию европейского качества. Постоянное снижение её себестоимости, невысокая цена в сравнении с аналогами других производителей обеспечивают изделиям устойчивую конкурентоспособность на российском рынке.</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Изотермические кузова собираются из "сэндвич" - панелей. Изолирующим материалом служит высококачественный пенополеуретан с двусторонней </w:t>
      </w:r>
      <w:r>
        <w:rPr>
          <w:rFonts w:ascii="Times New Roman CYR" w:hAnsi="Times New Roman CYR" w:cs="Times New Roman CYR"/>
          <w:sz w:val="28"/>
          <w:szCs w:val="28"/>
        </w:rPr>
        <w:lastRenderedPageBreak/>
        <w:t>облицовкой металлическими оцинкованными листами. Они покрыты эпоксидной грунтовкой и покрашены эпоксидной эмалью. Панели собраны по бескаркасной технологии и крепятся между собой металлическими оцинкованными профилями, путём металлического соединения с полиуретановым герметиком при помощи высокопрочного импортного клея.</w:t>
      </w:r>
    </w:p>
    <w:p w:rsidR="00FE5AE9" w:rsidRDefault="009201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Благодаря современным технологиям сборки, коэффициент теплопередачи панелей не превышает 0,3888т/град. на куб.метр.</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Двери автофургонов имеют резиновые уплотнители специальной конфигурации, обеспечивающие высокую степень герметичности, надёжно сохраняющие температурный режим внутри кузова. Опыт эксплуатации показал, что если в течении суток двери кузова не открывались, то потеря составляет всего один градус. Штанговые запоры чётко фиксируют двери во время движения автомобиля.</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Конструкция пола рассчитана на усилия груза, соответствующего выбранному шасси. Выполненный из многослойной фанеры покрытой полеуретаном TUF STUFF, а также слоя твёрдого вспененного материала различной толщины, с усиливающими несущими элементами пола, делают кузов исключительно надёжным в его эксплуатации.</w:t>
      </w:r>
    </w:p>
    <w:p w:rsidR="00FE5AE9" w:rsidRDefault="009201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Изотермические кузова, выпускаемые заводом, предназначены для установки их на любые, в том числе и на зарубежные шасси грузовых автомобилей. Рассчитаны они на длительный период пользования в условиях всех климатических зон России и за её пределами.</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Их преимуществами являются низкая теплопроводность, высокая прочность, малый вес, привлекательный внешний вид.</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Изотермические кузова на шасси полуприцепов длиной 3,2 м.</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Объем кузова 30 м.куб.</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Цена: 130 000 руб.</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Стоимость пароконвектоматов производства фирмы FOINOX (BERTO'S) составляет 52. 700 руб.</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затраты на организацию горячего питания в 1 школе Чеховского района составят 182. 700 руб.</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дальнейшем внедрении данной системы во все школы района потребуются лишь затраты на приобретение пароконвектоматов. Автомобиль может использоваться для организации питания во всех школах района.</w:t>
      </w:r>
    </w:p>
    <w:p w:rsidR="00FE5AE9" w:rsidRDefault="009201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п.3.3 нами были рассмотрены мероприятия по информатизации системы образования Чеховского района. Ожидаемыми результатами от реализации информатизации системы образования Чеховского района будут:</w:t>
      </w:r>
    </w:p>
    <w:p w:rsidR="00FE5AE9" w:rsidRDefault="00920100">
      <w:pPr>
        <w:widowControl w:val="0"/>
        <w:shd w:val="clear" w:color="auto" w:fill="FFFFFF"/>
        <w:tabs>
          <w:tab w:val="left" w:pos="0"/>
          <w:tab w:val="left" w:pos="407"/>
          <w:tab w:val="left" w:pos="528"/>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Улучшение материально-технической базы кабинетов информатики образовательных учреждений.</w:t>
      </w:r>
    </w:p>
    <w:p w:rsidR="00FE5AE9" w:rsidRDefault="00920100">
      <w:pPr>
        <w:widowControl w:val="0"/>
        <w:shd w:val="clear" w:color="auto" w:fill="FFFFFF"/>
        <w:tabs>
          <w:tab w:val="left" w:pos="0"/>
          <w:tab w:val="left" w:pos="407"/>
          <w:tab w:val="left" w:pos="528"/>
          <w:tab w:val="left" w:pos="1134"/>
          <w:tab w:val="left" w:pos="2678"/>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Обеспечение доступа учащихся и преподавателей образовательных учреждений области к высококачественным локальным и сетевым образовательным информационным ресурсам.</w:t>
      </w:r>
    </w:p>
    <w:p w:rsidR="00FE5AE9" w:rsidRDefault="00920100">
      <w:pPr>
        <w:widowControl w:val="0"/>
        <w:shd w:val="clear" w:color="auto" w:fill="FFFFFF"/>
        <w:tabs>
          <w:tab w:val="left" w:pos="0"/>
          <w:tab w:val="left" w:pos="407"/>
          <w:tab w:val="left" w:pos="562"/>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Совершенствование системы повышения квалификации и переподготовки работников образования новейшим информационным технологиям и интенсификация внедрения ИКТ в образовательный процесс.</w:t>
      </w:r>
    </w:p>
    <w:p w:rsidR="00FE5AE9" w:rsidRDefault="0092010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Наполнение единой образовательной среды образовательными ресурсами, адекватными новым требованиям общественной жизни и рынка труда и позволяющими готовить полноценных членов общества переходящего от индустриального к информационному способу производства.</w:t>
      </w:r>
    </w:p>
    <w:p w:rsidR="00FE5AE9" w:rsidRDefault="0092010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Интеграция образовательных учреждений Чеховского района в единое информационное пространство.</w:t>
      </w:r>
    </w:p>
    <w:p w:rsidR="00FE5AE9" w:rsidRDefault="00920100">
      <w:pPr>
        <w:widowControl w:val="0"/>
        <w:shd w:val="clear" w:color="auto" w:fill="FFFFFF"/>
        <w:tabs>
          <w:tab w:val="left" w:pos="407"/>
          <w:tab w:val="left" w:pos="562"/>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Затраты на реализацию перечня мероприятий по информатизации системы образования Чеховского района приведены в Таблице 31.</w:t>
      </w:r>
    </w:p>
    <w:p w:rsidR="00FE5AE9" w:rsidRDefault="00FE5AE9">
      <w:pPr>
        <w:widowControl w:val="0"/>
        <w:shd w:val="clear" w:color="auto" w:fill="FFFFFF"/>
        <w:tabs>
          <w:tab w:val="left" w:pos="407"/>
          <w:tab w:val="left" w:pos="562"/>
        </w:tabs>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shd w:val="clear" w:color="auto" w:fill="FFFFFF"/>
        <w:tabs>
          <w:tab w:val="left" w:pos="407"/>
          <w:tab w:val="left" w:pos="547"/>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31 Затраты на реализацию перечня мероприятий по информатизации системы образования Чеховского района</w:t>
      </w:r>
    </w:p>
    <w:tbl>
      <w:tblPr>
        <w:tblW w:w="0" w:type="auto"/>
        <w:tblInd w:w="-68" w:type="dxa"/>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000" w:firstRow="0" w:lastRow="0" w:firstColumn="0" w:lastColumn="0" w:noHBand="0" w:noVBand="0"/>
      </w:tblPr>
      <w:tblGrid>
        <w:gridCol w:w="534"/>
        <w:gridCol w:w="5822"/>
        <w:gridCol w:w="2966"/>
      </w:tblGrid>
      <w:tr w:rsidR="00FE5AE9">
        <w:tc>
          <w:tcPr>
            <w:tcW w:w="534"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п/п</w:t>
            </w:r>
          </w:p>
        </w:tc>
        <w:tc>
          <w:tcPr>
            <w:tcW w:w="582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Мероприятия</w:t>
            </w:r>
          </w:p>
        </w:tc>
        <w:tc>
          <w:tcPr>
            <w:tcW w:w="2966"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Объем финансирования из бюджета Чеховского района</w:t>
            </w:r>
          </w:p>
        </w:tc>
      </w:tr>
      <w:tr w:rsidR="00FE5AE9">
        <w:tc>
          <w:tcPr>
            <w:tcW w:w="534"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582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Мониторинг по определению уровня информатизации в учебных заведениях района</w:t>
            </w:r>
          </w:p>
        </w:tc>
        <w:tc>
          <w:tcPr>
            <w:tcW w:w="2966"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30,0</w:t>
            </w:r>
          </w:p>
        </w:tc>
      </w:tr>
      <w:tr w:rsidR="00FE5AE9">
        <w:tc>
          <w:tcPr>
            <w:tcW w:w="534"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582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Совершенствование системы методических, ресурсных, сервисных и других центров, обеспечивающих реализацию программы информатизации образования Чеховского района</w:t>
            </w:r>
          </w:p>
        </w:tc>
        <w:tc>
          <w:tcPr>
            <w:tcW w:w="2966"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270,0</w:t>
            </w:r>
          </w:p>
        </w:tc>
      </w:tr>
      <w:tr w:rsidR="00FE5AE9">
        <w:tc>
          <w:tcPr>
            <w:tcW w:w="534"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582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Развитие материально-технической базы научно-методического центра информационных технологий в образовании</w:t>
            </w:r>
          </w:p>
        </w:tc>
        <w:tc>
          <w:tcPr>
            <w:tcW w:w="2966"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200,0</w:t>
            </w:r>
          </w:p>
        </w:tc>
      </w:tr>
      <w:tr w:rsidR="00FE5AE9">
        <w:tc>
          <w:tcPr>
            <w:tcW w:w="534"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582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Приобретение компьютерного оборудования для учреждений дополнительного образования и педагогических образовательных учреждений среднего профессионального образования</w:t>
            </w:r>
          </w:p>
        </w:tc>
        <w:tc>
          <w:tcPr>
            <w:tcW w:w="2966"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3200,0</w:t>
            </w:r>
          </w:p>
        </w:tc>
      </w:tr>
      <w:tr w:rsidR="00FE5AE9">
        <w:tc>
          <w:tcPr>
            <w:tcW w:w="534"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582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Обеспечение органов управления образованием современными средствами информатизации</w:t>
            </w:r>
          </w:p>
        </w:tc>
        <w:tc>
          <w:tcPr>
            <w:tcW w:w="2966"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1000,0</w:t>
            </w:r>
          </w:p>
        </w:tc>
      </w:tr>
      <w:tr w:rsidR="00FE5AE9">
        <w:tc>
          <w:tcPr>
            <w:tcW w:w="534"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582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Поддержка и развитие регионального образовательного сервера</w:t>
            </w:r>
          </w:p>
        </w:tc>
        <w:tc>
          <w:tcPr>
            <w:tcW w:w="2966"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w:t>
            </w:r>
          </w:p>
        </w:tc>
      </w:tr>
      <w:tr w:rsidR="00FE5AE9">
        <w:tc>
          <w:tcPr>
            <w:tcW w:w="534"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582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Оплата канала Интернет для обеспечения курсов повышения квалификации работников образования</w:t>
            </w:r>
          </w:p>
        </w:tc>
        <w:tc>
          <w:tcPr>
            <w:tcW w:w="2966"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200,0</w:t>
            </w:r>
          </w:p>
        </w:tc>
      </w:tr>
      <w:tr w:rsidR="00FE5AE9">
        <w:tc>
          <w:tcPr>
            <w:tcW w:w="534"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582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Оплата услуг по передаче информации и документов через спутниковый канал</w:t>
            </w:r>
          </w:p>
        </w:tc>
        <w:tc>
          <w:tcPr>
            <w:tcW w:w="2966"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800,0</w:t>
            </w:r>
          </w:p>
        </w:tc>
      </w:tr>
      <w:tr w:rsidR="00FE5AE9">
        <w:tc>
          <w:tcPr>
            <w:tcW w:w="534"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582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Приобретение и разработка электронных учебных пособий</w:t>
            </w:r>
          </w:p>
        </w:tc>
        <w:tc>
          <w:tcPr>
            <w:tcW w:w="2966"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300,0</w:t>
            </w:r>
          </w:p>
        </w:tc>
      </w:tr>
      <w:tr w:rsidR="00FE5AE9">
        <w:tc>
          <w:tcPr>
            <w:tcW w:w="534"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582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Повышение квалификации и профессиональная переподготовка педагогических, административных, научно-методических, инженерно-технических кадров в области новых информационных технологий</w:t>
            </w:r>
          </w:p>
        </w:tc>
        <w:tc>
          <w:tcPr>
            <w:tcW w:w="2966"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1500,0</w:t>
            </w:r>
          </w:p>
        </w:tc>
      </w:tr>
      <w:tr w:rsidR="00FE5AE9">
        <w:tc>
          <w:tcPr>
            <w:tcW w:w="534"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582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Развитие материально-технической базы кабинетов информатики образовательных учреждений района (приобретение мебели, сетевого оборудования)</w:t>
            </w:r>
          </w:p>
        </w:tc>
        <w:tc>
          <w:tcPr>
            <w:tcW w:w="2966"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1500,0</w:t>
            </w:r>
          </w:p>
        </w:tc>
      </w:tr>
      <w:tr w:rsidR="00FE5AE9">
        <w:tc>
          <w:tcPr>
            <w:tcW w:w="534"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582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Поддержка технического обслуживания компьютерных и телекоммуникационных систем</w:t>
            </w:r>
          </w:p>
        </w:tc>
        <w:tc>
          <w:tcPr>
            <w:tcW w:w="2966"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200,0</w:t>
            </w:r>
          </w:p>
        </w:tc>
      </w:tr>
      <w:tr w:rsidR="00FE5AE9">
        <w:tc>
          <w:tcPr>
            <w:tcW w:w="534"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582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Монтаж, ввод в эксплуатацию компьютерного и сетевого оборудования для образовательных учреждений</w:t>
            </w:r>
          </w:p>
        </w:tc>
        <w:tc>
          <w:tcPr>
            <w:tcW w:w="2966"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1000,0</w:t>
            </w:r>
          </w:p>
        </w:tc>
      </w:tr>
      <w:tr w:rsidR="00FE5AE9">
        <w:tc>
          <w:tcPr>
            <w:tcW w:w="534" w:type="dxa"/>
            <w:tcBorders>
              <w:top w:val="single" w:sz="6" w:space="0" w:color="auto"/>
              <w:left w:val="single" w:sz="6" w:space="0" w:color="auto"/>
              <w:bottom w:val="single" w:sz="6" w:space="0" w:color="auto"/>
              <w:right w:val="single" w:sz="6" w:space="0" w:color="auto"/>
            </w:tcBorders>
          </w:tcPr>
          <w:p w:rsidR="00FE5AE9" w:rsidRDefault="00FE5AE9">
            <w:pPr>
              <w:widowControl w:val="0"/>
              <w:autoSpaceDE w:val="0"/>
              <w:autoSpaceDN w:val="0"/>
              <w:adjustRightInd w:val="0"/>
              <w:spacing w:after="0" w:line="240" w:lineRule="auto"/>
              <w:rPr>
                <w:rFonts w:ascii="Times New Roman CYR" w:hAnsi="Times New Roman CYR" w:cs="Times New Roman CYR"/>
                <w:sz w:val="20"/>
                <w:szCs w:val="20"/>
              </w:rPr>
            </w:pPr>
          </w:p>
        </w:tc>
        <w:tc>
          <w:tcPr>
            <w:tcW w:w="5822"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2966" w:type="dxa"/>
            <w:tcBorders>
              <w:top w:val="single" w:sz="6" w:space="0" w:color="auto"/>
              <w:left w:val="single" w:sz="6" w:space="0" w:color="auto"/>
              <w:bottom w:val="single" w:sz="6" w:space="0" w:color="auto"/>
              <w:right w:val="single" w:sz="6" w:space="0" w:color="auto"/>
            </w:tcBorders>
          </w:tcPr>
          <w:p w:rsidR="00FE5AE9" w:rsidRDefault="00920100">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10300,0</w:t>
            </w:r>
          </w:p>
        </w:tc>
      </w:tr>
    </w:tbl>
    <w:p w:rsidR="00FE5AE9" w:rsidRDefault="00FE5AE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затраты на реализацию мероприятия по информатизации системы образования Чеховского района составят 10300 тыс. руб.</w:t>
      </w:r>
    </w:p>
    <w:p w:rsidR="00FE5AE9" w:rsidRDefault="00920100">
      <w:pPr>
        <w:widowControl w:val="0"/>
        <w:tabs>
          <w:tab w:val="left" w:pos="9344"/>
        </w:tabs>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Заключение</w:t>
      </w:r>
    </w:p>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Образование относится к числу неотъемлемых атрибутов современного общества, его адекватный уровень определяет степень возможности для индивида добиться успеха, полноценно участвовать в социальном развитии. Политика субъектов Федерации в района образования определяется как федеральным, так и региональным законодательством и должна вестись на </w:t>
      </w:r>
      <w:r>
        <w:rPr>
          <w:rFonts w:ascii="Times New Roman CYR" w:hAnsi="Times New Roman CYR" w:cs="Times New Roman CYR"/>
          <w:sz w:val="28"/>
          <w:szCs w:val="28"/>
        </w:rPr>
        <w:lastRenderedPageBreak/>
        <w:t>основе региональных образовательных стандартов, отвечающих территориальной специфике. Сама образовательная структура представляет собой достаточно сложный феномен, так как она включает в себя учреждения государственного, муниципального и негосударственного характера. Их целью является как обеспечение детям и взрослым возможности получения образования, так и профессиональная их подготовка. Кроме того, имеются различные виды дополнительного образования.</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российскому законодательству государство гарантирует гражданам общедоступность и бесплатность общего и начального профессионального образования, а также на конкурсной основе бесплатность среднего, высшего и послевузовского профессионального образования в государственных и муниципальных образовательных учреждениях в пределах государственных образовательных стандартов, если образование данного уровня гражданин получает впервые.</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муниципальных учреждений в районе работает три филиала и семь Представительств высших учебных учреждений. Один филиал среднего специального учебного заведений, два средних профессиональных училища, Мещерское медицинское училище, Чеховский механико-технологический техникум, Скурыгинская спецшкола. В этих учреждениях получают высшее и среднее специальное образование 3 тысячи студентов.</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целях совершенствования системы образования чеховского района необходимо проведение следующих мероприятий:</w:t>
      </w:r>
    </w:p>
    <w:p w:rsidR="00FE5AE9" w:rsidRDefault="00920100">
      <w:pPr>
        <w:widowControl w:val="0"/>
        <w:tabs>
          <w:tab w:val="left" w:pos="169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результате проведенного анализа стала ясно, что в Чеховском районе существуют определенные проблемы в данной области, требующие обязательного решения.</w:t>
      </w:r>
    </w:p>
    <w:p w:rsidR="00FE5AE9" w:rsidRDefault="00920100">
      <w:pPr>
        <w:widowControl w:val="0"/>
        <w:tabs>
          <w:tab w:val="left" w:pos="169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Основываясь на данных анализа, мы пришли к выводу, что основными приоритетами развития системы образования Чеховского района должны стать:</w:t>
      </w:r>
    </w:p>
    <w:p w:rsidR="00FE5AE9" w:rsidRDefault="00920100">
      <w:pPr>
        <w:widowControl w:val="0"/>
        <w:tabs>
          <w:tab w:val="left" w:pos="169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Удержание и привлечение молодых педагогических кадров в образовательных учреждениях района, информатизация образования Чеховского района, улучшение качества питания в общеобразовательных учреждениях, разработка программы дальнейшего развития системы образования.</w:t>
      </w:r>
    </w:p>
    <w:p w:rsidR="00FE5AE9" w:rsidRDefault="00920100">
      <w:pPr>
        <w:widowControl w:val="0"/>
        <w:tabs>
          <w:tab w:val="left" w:pos="169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проведённого анализа были предложены мероприятия, направленные на совершенствование муниципального управления развитием системы образования в Чеховском районе:</w:t>
      </w:r>
    </w:p>
    <w:p w:rsidR="00FE5AE9" w:rsidRDefault="00920100">
      <w:pPr>
        <w:widowControl w:val="0"/>
        <w:tabs>
          <w:tab w:val="left" w:pos="360"/>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Привлечение молодых специалистов в образовательные учреждения района.</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Организация горячего питания в школах</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Информатизация образования Чеховского района</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Разработка комплексной программы развития сферы образования Чеховского района.</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рамках мероприятия по привлечению молодых специалистов в образовательные учреждения района нами предлагается введение надбавок к заработной плате за первый год работы 3000 рублей; за второй год работы - 4000 рублей; за третий год работы - 5000 рублей.</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нами предложен дифференцированно- аннуитетный способ выплаты кредитного бремени, позволяющий сокращать кредитную нагрузку до 2 млн. руб. с выплаты одного кредита.</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горячего питания предполагает приготовление обедов на базовом комбинате городской Столовой № 3, доставку обедов на грузовиках с изотермическими кузовами в общеобразовательные учреждения района разогрев в пароконвектоматах в каждом образовательном учреждении.</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Информатизация системы образования Чеховского района предполагает создание ярусного процесса сбора данных, предполагающего, что данные по общеобразовательным учреждениям будут накапливаться в муниципальную базу </w:t>
      </w:r>
      <w:r>
        <w:rPr>
          <w:rFonts w:ascii="Times New Roman CYR" w:hAnsi="Times New Roman CYR" w:cs="Times New Roman CYR"/>
          <w:sz w:val="28"/>
          <w:szCs w:val="28"/>
        </w:rPr>
        <w:lastRenderedPageBreak/>
        <w:t>данных, затем в региональную базу данных.</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Программа развития системы образования будет направлена на развитие инновационной работы, преимущественно творческой подготовки школьников.</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дипломная работа была выполнена с надеждой на то, что предложенные и разработанные мероприятия будут учтены при дальнейшем совершенствовании муниципального развития системы образования Чеховского района Московской области.</w:t>
      </w:r>
    </w:p>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tabs>
          <w:tab w:val="left" w:pos="9344"/>
        </w:tabs>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sz w:val="28"/>
          <w:szCs w:val="28"/>
        </w:rPr>
        <w:br w:type="page"/>
      </w:r>
      <w:r>
        <w:rPr>
          <w:rFonts w:ascii="Times New Roman CYR" w:hAnsi="Times New Roman CYR" w:cs="Times New Roman CYR"/>
          <w:caps/>
          <w:sz w:val="28"/>
          <w:szCs w:val="28"/>
        </w:rPr>
        <w:lastRenderedPageBreak/>
        <w:t>Библиография</w:t>
      </w:r>
    </w:p>
    <w:p w:rsidR="00FE5AE9" w:rsidRDefault="00FE5AE9">
      <w:pPr>
        <w:widowControl w:val="0"/>
        <w:tabs>
          <w:tab w:val="left" w:pos="9344"/>
        </w:tabs>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shd w:val="clear" w:color="auto" w:fill="FFFFFF"/>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Федеральный Закон №. «Об образовании» (новая редакция)</w:t>
      </w:r>
    </w:p>
    <w:p w:rsidR="00FE5AE9" w:rsidRDefault="00920100">
      <w:pPr>
        <w:widowControl w:val="0"/>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Закон г. Москвы «О развитии образования в г. Москве» N 25от 20 июня 2001г.</w:t>
      </w:r>
    </w:p>
    <w:p w:rsidR="00FE5AE9" w:rsidRDefault="00920100">
      <w:pPr>
        <w:widowControl w:val="0"/>
        <w:shd w:val="clear" w:color="auto" w:fill="FFFFFF"/>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Бюджетный кодекс Российской Федерации.</w:t>
      </w:r>
    </w:p>
    <w:p w:rsidR="00FE5AE9" w:rsidRDefault="00920100">
      <w:pPr>
        <w:widowControl w:val="0"/>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4.</w:t>
      </w:r>
      <w:r>
        <w:rPr>
          <w:rFonts w:ascii="Times New Roman CYR" w:hAnsi="Times New Roman CYR" w:cs="Times New Roman CYR"/>
          <w:sz w:val="28"/>
          <w:szCs w:val="28"/>
        </w:rPr>
        <w:tab/>
        <w:t>ФЦП "Развитие единой информационной образовательной среды (2004-2011 г.г.)", Минобразование РФ.</w:t>
      </w:r>
    </w:p>
    <w:p w:rsidR="00FE5AE9" w:rsidRDefault="0092010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5.</w:t>
      </w:r>
      <w:r>
        <w:rPr>
          <w:rFonts w:ascii="Times New Roman CYR" w:hAnsi="Times New Roman CYR" w:cs="Times New Roman CYR"/>
          <w:sz w:val="28"/>
          <w:szCs w:val="28"/>
        </w:rPr>
        <w:tab/>
        <w:t>Федеральная программа &lt;http://edu.park.ru/legal/public/default.asp?no=81929&gt; развития образования утверждена Федеральным  &lt;http://edu.park.ru/legal/public/default.asp?no=81929&gt; законом &lt;http://edu.park.ru/legal/public/default.asp?no=81929&gt; от 10 апреля 2010 г. N 51-ФЗ</w:t>
      </w:r>
    </w:p>
    <w:p w:rsidR="00FE5AE9" w:rsidRDefault="00920100">
      <w:pPr>
        <w:widowControl w:val="0"/>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6.</w:t>
      </w:r>
      <w:r>
        <w:rPr>
          <w:rFonts w:ascii="Times New Roman CYR" w:hAnsi="Times New Roman CYR" w:cs="Times New Roman CYR"/>
          <w:sz w:val="28"/>
          <w:szCs w:val="28"/>
        </w:rPr>
        <w:tab/>
        <w:t>Постановление Правительства Москвы от 13 июня 2007 г. № 449 «Об оснащении образовательных учреждений г. Москвы учебным оборудованием, техническими средствами и компьютерной техникой.</w:t>
      </w:r>
    </w:p>
    <w:p w:rsidR="00FE5AE9" w:rsidRDefault="0092010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7.</w:t>
      </w:r>
      <w:r>
        <w:rPr>
          <w:rFonts w:ascii="Times New Roman CYR" w:hAnsi="Times New Roman CYR" w:cs="Times New Roman CYR"/>
          <w:sz w:val="28"/>
          <w:szCs w:val="28"/>
        </w:rPr>
        <w:tab/>
        <w:t>Положение об Управлении образования Администрации городского округа Чехов Московской района &lt;http://www.krasnoznamensk.com/documents/132/pologenie_obrl.doc&gt;, утверждено Решением Совета депутатов городского округа Чехов Московской района от 17.11.2010 года № 129/17)</w:t>
      </w:r>
    </w:p>
    <w:p w:rsidR="00FE5AE9" w:rsidRDefault="00920100">
      <w:pPr>
        <w:widowControl w:val="0"/>
        <w:shd w:val="clear" w:color="auto" w:fill="FFFFFF"/>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8.</w:t>
      </w:r>
      <w:r>
        <w:rPr>
          <w:rFonts w:ascii="Times New Roman CYR" w:hAnsi="Times New Roman CYR" w:cs="Times New Roman CYR"/>
          <w:sz w:val="28"/>
          <w:szCs w:val="28"/>
        </w:rPr>
        <w:tab/>
        <w:t>Типовое положение «Об общеобразовательном учреждении» (утвержденное Постановлением Правительства РФ № 1008 от 31.08.2004г.)</w:t>
      </w:r>
    </w:p>
    <w:p w:rsidR="00FE5AE9" w:rsidRDefault="00920100">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9.</w:t>
      </w:r>
      <w:r>
        <w:rPr>
          <w:rFonts w:ascii="Times New Roman CYR" w:hAnsi="Times New Roman CYR" w:cs="Times New Roman CYR"/>
          <w:sz w:val="28"/>
          <w:szCs w:val="28"/>
        </w:rPr>
        <w:tab/>
        <w:t>Годовой отчет о финансово - экономических показателях по Чеховскому району за 2010 г.</w:t>
      </w:r>
    </w:p>
    <w:p w:rsidR="00FE5AE9" w:rsidRDefault="0092010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10.</w:t>
      </w:r>
      <w:r>
        <w:rPr>
          <w:rFonts w:ascii="Times New Roman CYR" w:hAnsi="Times New Roman CYR" w:cs="Times New Roman CYR"/>
          <w:sz w:val="28"/>
          <w:szCs w:val="28"/>
        </w:rPr>
        <w:tab/>
        <w:t>Отчет о расходовании бюджета Чеховского района за 2002- 2010 гг.</w:t>
      </w:r>
    </w:p>
    <w:p w:rsidR="00FE5AE9" w:rsidRDefault="0092010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Отчет торгового отдела администрации Чеховского района «О финансовых результатах в сфере торговли и услуг».</w:t>
      </w:r>
    </w:p>
    <w:p w:rsidR="00FE5AE9" w:rsidRDefault="0092010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Информационный сборник Чеховского районного центра занятости за 2010 год.</w:t>
      </w:r>
    </w:p>
    <w:p w:rsidR="00FE5AE9" w:rsidRDefault="0092010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Белякова С.А., Мусарский М.М. «Экономика и финансы образования». </w:t>
      </w:r>
      <w:r>
        <w:rPr>
          <w:rFonts w:ascii="Times New Roman CYR" w:hAnsi="Times New Roman CYR" w:cs="Times New Roman CYR"/>
          <w:sz w:val="28"/>
          <w:szCs w:val="28"/>
        </w:rPr>
        <w:lastRenderedPageBreak/>
        <w:t>Учебное пособие. М.: Издательство МГОУ, 2008.-120с.</w:t>
      </w:r>
    </w:p>
    <w:p w:rsidR="00FE5AE9" w:rsidRDefault="0092010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Буянова, М. О. Социальное обслуживание граждан России в условиях рыночной экономики: Теоретико-правовой аспект. М.: 2009.-163 с.</w:t>
      </w:r>
    </w:p>
    <w:p w:rsidR="00FE5AE9" w:rsidRDefault="00920100">
      <w:pPr>
        <w:widowControl w:val="0"/>
        <w:tabs>
          <w:tab w:val="left" w:pos="540"/>
          <w:tab w:val="left" w:pos="126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15.</w:t>
      </w:r>
      <w:r>
        <w:rPr>
          <w:rFonts w:ascii="Times New Roman CYR" w:hAnsi="Times New Roman CYR" w:cs="Times New Roman CYR"/>
          <w:sz w:val="28"/>
          <w:szCs w:val="28"/>
        </w:rPr>
        <w:tab/>
        <w:t>Днепров Э.Д. «Модернизация российского образования: документы и материалы», М: ГУ ВШЭ, 2008.- 334с.</w:t>
      </w:r>
    </w:p>
    <w:p w:rsidR="00FE5AE9" w:rsidRDefault="0092010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16.</w:t>
      </w:r>
      <w:r>
        <w:rPr>
          <w:rFonts w:ascii="Times New Roman CYR" w:hAnsi="Times New Roman CYR" w:cs="Times New Roman CYR"/>
          <w:sz w:val="28"/>
          <w:szCs w:val="28"/>
        </w:rPr>
        <w:tab/>
        <w:t>Волгин Н.А., Гриценко Н.Н Положение детей в Российской Федерации. Итоги социальной политики 1990-х годов и перспективы. М.: Весь мир, 2009.-220с.  &lt;http://www.booka.ru/booka_topic_77126?id=97475&gt;</w:t>
      </w:r>
    </w:p>
    <w:p w:rsidR="00FE5AE9" w:rsidRDefault="0092010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Гапоненко А.Л. Стратегия социально-экономического развития: страна, регион, город. &lt;http://www.booka.ru/booka_topic_77126?id=24121&gt; М.: РАГС, 2009.-150с.</w:t>
      </w:r>
    </w:p>
    <w:p w:rsidR="00FE5AE9" w:rsidRDefault="0092010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Калашников С.В. Становление социального государства в России. "Экономика &lt;http://books.koenig.ru/pubinfo.asp?cod=2131&gt;" - 2009.-159с.</w:t>
      </w:r>
    </w:p>
    <w:p w:rsidR="00FE5AE9" w:rsidRDefault="0092010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Найбороденко Н.М. Прогнозирование и стратегия социального развития России. - 2-е изд. &lt;http://www.booka.ru/booka_topic_77126?id=59163&gt; М.: Маркетинг, 2008.-350с.</w:t>
      </w:r>
    </w:p>
    <w:p w:rsidR="00FE5AE9" w:rsidRDefault="0092010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Калигин Н.А. Принципы организационного управления.- М.: ФиС, 2009.- 313с.</w:t>
      </w:r>
    </w:p>
    <w:p w:rsidR="00FE5AE9" w:rsidRDefault="0092010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Модернизация управления образованием: перспективы и проблемы СПб.: СПбГУ, 2010.-96с.</w:t>
      </w:r>
    </w:p>
    <w:p w:rsidR="00FE5AE9" w:rsidRDefault="0092010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Адриан, Жоэль &lt;http://ecsocman.edu.ru/db/msg/114785.html&gt;и др. Белая книга российского образования . Ч. I.- М.:МЭСИ, 2008.-540с.</w:t>
      </w:r>
    </w:p>
    <w:p w:rsidR="00FE5AE9" w:rsidRDefault="0092010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Кузнецова &lt;http://ecsocman.edu.ru/db/msg/278179.html&gt; В.И., .Озерова &lt;http://ecsocman.edu.ru/db/msg/278180.html&gt; О.К Индикаторы образования: Статистический сборник. - М.: ГУ ВШЭ, 2010.-220с.</w:t>
      </w:r>
    </w:p>
    <w:p w:rsidR="00FE5AE9" w:rsidRDefault="0092010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Пригарин В.С. Кнаева О.А. Социальная политика государства в рыночной экономике &lt;http://www.booka.ru/booka_topic_77126?id=83005&gt;. М.: ОЦЭиМ, 2009.-245с.</w:t>
      </w:r>
    </w:p>
    <w:p w:rsidR="00FE5AE9" w:rsidRDefault="0092010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Российский статистический ежегодник. 2009. М.: Госкомстат России, 2009.-250с.</w:t>
      </w:r>
    </w:p>
    <w:p w:rsidR="00FE5AE9" w:rsidRDefault="0092010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Уткин Э.А. Денисов А.Ф. Государственное и муниципальное управление. М.:ЭКМОС, 2010.-304 с.</w:t>
      </w:r>
    </w:p>
    <w:p w:rsidR="00FE5AE9" w:rsidRDefault="0092010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kern w:val="22"/>
          <w:sz w:val="28"/>
          <w:szCs w:val="28"/>
        </w:rPr>
        <w:t>27.</w:t>
      </w:r>
      <w:r>
        <w:rPr>
          <w:rFonts w:ascii="Times New Roman CYR" w:hAnsi="Times New Roman CYR" w:cs="Times New Roman CYR"/>
          <w:kern w:val="22"/>
          <w:sz w:val="28"/>
          <w:szCs w:val="28"/>
        </w:rPr>
        <w:tab/>
        <w:t>Шариков А.В. - Развитие системного подхода в управлении учреждениями общего образования на муниципальном уровне. - М.: Веста БСК, 2009.15с.</w:t>
      </w:r>
    </w:p>
    <w:p w:rsidR="00FE5AE9" w:rsidRDefault="0092010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kern w:val="22"/>
          <w:sz w:val="28"/>
          <w:szCs w:val="28"/>
        </w:rPr>
        <w:t>28.</w:t>
      </w:r>
      <w:r>
        <w:rPr>
          <w:rFonts w:ascii="Times New Roman CYR" w:hAnsi="Times New Roman CYR" w:cs="Times New Roman CYR"/>
          <w:kern w:val="22"/>
          <w:sz w:val="28"/>
          <w:szCs w:val="28"/>
        </w:rPr>
        <w:tab/>
        <w:t>Шариков А.В. Проблемы управления развитием муниципальной системы общего образования. - М.; ИОО МО РФ, 2003.- 11с.</w:t>
      </w:r>
    </w:p>
    <w:p w:rsidR="00FE5AE9" w:rsidRDefault="0092010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Экономические стратегии активных городов, Под ред. д.э.н. Гринчеля Б.М., д-ра Шуссмана, С-Пб 2002.-330с.</w:t>
      </w:r>
    </w:p>
    <w:p w:rsidR="00FE5AE9" w:rsidRDefault="0092010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Аменд А.Ф., Латюшин В.В., Звягин А.Н. О систематике современных тенденций и проблем в образовании Расписание на завтра. 2003. № 4 с.30-34.</w:t>
      </w:r>
    </w:p>
    <w:p w:rsidR="00FE5AE9" w:rsidRDefault="0092010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Репина С.А., Серикова Г.Н.. Информационные технологии в управлении муниципальным образованием //Актуальные проблемы управления образованием в регионе: Сб. научно-методических материалов. Вып. 1(9) . - Челябинск: изд-во ИИУМЦ "Образование", 2008.-с. 128-131</w:t>
      </w:r>
    </w:p>
    <w:p w:rsidR="00FE5AE9" w:rsidRDefault="0092010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Лиман &lt;http://ecsocman.edu.ru/db/msg/243161.html&gt; И.А.//Проблемы финансирования высшего образования в Российской Федерации &lt;http://ecsocman.edu.ru/univman/msg/243162.html&gt;/Университетское управление. 2009. № 5(38). С. 31-39.</w:t>
      </w:r>
    </w:p>
    <w:p w:rsidR="00FE5AE9" w:rsidRDefault="0092010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Распределение функционала в управлении муниципальной образовательной системой в связи с реализацией Программы развития образования //Актуальные проблемы управления образованием в регионе: Сб. научно-методических материалов. Вып 2(6) /Под ред. С.А. Репина, Г.Н. Серикова. - Челябинск: изд-во ИИУМЦ "Образование",1998.-С.57-63.</w:t>
      </w:r>
    </w:p>
    <w:p w:rsidR="00FE5AE9" w:rsidRDefault="0092010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Коробецкий И.А. //Управление муниципальной системой образования Менеджмент. Наука. Образование. Культура, сборник научных статей, Санкт-Петербург, 2008.- с.45-50.</w:t>
      </w:r>
    </w:p>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sz w:val="28"/>
          <w:szCs w:val="28"/>
        </w:rPr>
        <w:br w:type="page"/>
      </w:r>
      <w:r>
        <w:rPr>
          <w:rFonts w:ascii="Times New Roman CYR" w:hAnsi="Times New Roman CYR" w:cs="Times New Roman CYR"/>
          <w:caps/>
          <w:sz w:val="28"/>
          <w:szCs w:val="28"/>
        </w:rPr>
        <w:lastRenderedPageBreak/>
        <w:t>Приложение</w:t>
      </w:r>
    </w:p>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ПРОГРАММА развития образования в Чеховском районе на 2011 - 2015 годы</w:t>
      </w:r>
    </w:p>
    <w:p w:rsidR="00FE5AE9" w:rsidRDefault="00FE5AE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Районная программа развития образования (далее Программа) в соответствии с Законом РФ “Об образовании” является основной государственной политики в области образования в Чеховском районе и г. Чехове.</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Программа определяет стратегию развития и меры ее реализации. Основные цели и задачи Программы учитывают особенности развития отрасли в районе и городе.</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Реализация целей Программы обеспечивается посредством как текущего финансирования за счет районного бюджета, так и дополнительного финансирования непосредственно мероприятий Программы, направленных на решение задач развития на основе достижений науки и практики.</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Исполнителями и соисполнителями являются управление образования администрации Чеховского района и г. Чехова, образовательные учреждения всех видов и типов.</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Сроки реализации Программы 2011 - 2015 годы.</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Главная цель программы - развитие системы образования района и города в интересах формирования гармонично развитой, социально активной, творческой личности.</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разделы Программы</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Состояние и основные проблемы развития системы образования.</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Цели, задачи и сроки реализации.</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Направления реализации Программы и ожидаемые результаты.</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Раздел I. Состояние и основные проблемы развития системы образования</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Краткая характеристика уровней системы образования</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2010 году в Чеховском районе функционировало 34 школы (из них: сельских (средних) - 16, городских (средних) - 6, гимназий - 2, лицей - 1, начальных- 6, вечерняя сменная - 1, школ-интернатов- 2) с охватом </w:t>
      </w:r>
      <w:r>
        <w:rPr>
          <w:rFonts w:ascii="Times New Roman CYR" w:hAnsi="Times New Roman CYR" w:cs="Times New Roman CYR"/>
          <w:noProof/>
          <w:sz w:val="28"/>
          <w:szCs w:val="28"/>
        </w:rPr>
        <w:t>10643</w:t>
      </w:r>
      <w:r>
        <w:rPr>
          <w:rFonts w:ascii="Times New Roman CYR" w:hAnsi="Times New Roman CYR" w:cs="Times New Roman CYR"/>
          <w:sz w:val="28"/>
          <w:szCs w:val="28"/>
        </w:rPr>
        <w:t xml:space="preserve"> учащихся.</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Численность учащихся дневных общеобразовательных школ, занимающихся в 2 смены, составляет 1611 человек.</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Выпуск учащихся дневными общеобразовательными школами в 2010 г. составил 1062 человека.</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учреждениях общего образования Чеховского района работает 1297, из них высшее образование имеют 589 человек (45,4 %); средне - специальное образование- 440 человек (34 %); не имеют педагогического образования - 268 учителей (20,6%) (Таблица 24). 24 учителя в настоящее время обучаются заочно. По результатам аттестации 89 педагогов имеют высшую категорию, 481 - I категорию и 790 - II квалификационную категорию (Таблица 25). 111 человек награждены значком "Отличник народного просвещения" и знаком "Почетный работник общего образования РФ", 6 работников образования имеют почетное звание "Заслуженный учитель школ РФ".</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Чеховском районе сеть дошкольных учреждений насчитывает 42 учебных заведения (муниципальных ДОУ- 39, ведомственных- 3). 15 ДОУ расположены в городе, 27 ДОУ- на селе. Численность детей в дошкольных образовательных учреждениях в 2010 г. составила </w:t>
      </w:r>
      <w:r>
        <w:rPr>
          <w:rFonts w:ascii="Times New Roman CYR" w:hAnsi="Times New Roman CYR" w:cs="Times New Roman CYR"/>
          <w:noProof/>
          <w:sz w:val="28"/>
          <w:szCs w:val="28"/>
        </w:rPr>
        <w:t xml:space="preserve">3963 чел. </w:t>
      </w:r>
      <w:r>
        <w:rPr>
          <w:rFonts w:ascii="Times New Roman CYR" w:hAnsi="Times New Roman CYR" w:cs="Times New Roman CYR"/>
          <w:sz w:val="28"/>
          <w:szCs w:val="28"/>
        </w:rPr>
        <w:t xml:space="preserve">Число мест в дошкольных учреждениях составляет </w:t>
      </w:r>
      <w:r>
        <w:rPr>
          <w:rFonts w:ascii="Times New Roman CYR" w:hAnsi="Times New Roman CYR" w:cs="Times New Roman CYR"/>
          <w:noProof/>
          <w:sz w:val="28"/>
          <w:szCs w:val="28"/>
        </w:rPr>
        <w:t xml:space="preserve">5008 чел. </w:t>
      </w:r>
      <w:r>
        <w:rPr>
          <w:rFonts w:ascii="Times New Roman CYR" w:hAnsi="Times New Roman CYR" w:cs="Times New Roman CYR"/>
          <w:sz w:val="28"/>
          <w:szCs w:val="28"/>
        </w:rPr>
        <w:t xml:space="preserve">В ДОУ района реализуются образовательные программы- «Из детства в отрочество» - 4 ДОУ (№№ 1, 4, 14, 20); «Развитие» Венгер - 1 (ДОУ № 11); «Сообщество» - 1 (ДОУ № 13); образовательные системы «Школа - 2000», «Школа - 2100» под руководством </w:t>
      </w:r>
      <w:r>
        <w:rPr>
          <w:rFonts w:ascii="Times New Roman CYR" w:hAnsi="Times New Roman CYR" w:cs="Times New Roman CYR"/>
          <w:sz w:val="28"/>
          <w:szCs w:val="28"/>
        </w:rPr>
        <w:lastRenderedPageBreak/>
        <w:t>А.А. Леонтьева - 6 (ДОУ №№ 12, 16, 24, 26, 30, д/о Г-9); «Кроха» - 1 (ДОУ № 2).</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Система дошкольного образования наряду с детскими садами общеразвивающего вида представлена 4 центрами развития ребенка. Согласно Положению о дошкольном образовательном учреждении и действующим Уставам, основной задачей работы ДОУ является сохранение и укрепление здоровья детей. Поэтому в ДОУ наряду с основной деятельностью осуществляется дополнительная работа по программам, рекомендованным Министерством образования РФ, где в специализированных группах реализуются программы, направленные на коррекцию здоровья детей. За 2010 год дошкольным отделом образования было выдано 523 путевки. Не посещаемость детского сада ребёнком по болезни в результате отдыха в оздоровительных учреждениях сократилась на 2,3 дня.</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Коррекция здоровья детей осуществляется в 13 специализированных группах по коррекции речи, зрения, опорно-двигательного аппарата, задержки психического развития детей. Их посещают 174 дошкольника. С целью обеспечения детям коррекции здоровья в муниципальных детских садах работают: 7 логопедических групп, 2- по коррекции зрения, 3- по коррекции опорно-двигательного аппарата, 1 группа - задержка психического развития детей.</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целом, проведя анализ сети дошкольных образовательных учреждений, можно сделать вывод о том, существуют и функционируют различных видов ДОУ с учетом потребностей населения города.</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Подраздел II. Проблемы системы образования Чеховского района.</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Развитие образования района и города происходит в сложнейшей ситуации. На деятельность образовательных учреждений дестабилизирующее воздействие оказывают факторы среди которых основными являются</w:t>
      </w:r>
    </w:p>
    <w:p w:rsidR="00FE5AE9" w:rsidRDefault="00920100">
      <w:pPr>
        <w:widowControl w:val="0"/>
        <w:tabs>
          <w:tab w:val="left" w:pos="0"/>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острый дефицит финансовых средств (бюджет лишь на 35 % покрывает </w:t>
      </w:r>
      <w:r>
        <w:rPr>
          <w:rFonts w:ascii="Times New Roman CYR" w:hAnsi="Times New Roman CYR" w:cs="Times New Roman CYR"/>
          <w:sz w:val="28"/>
          <w:szCs w:val="28"/>
        </w:rPr>
        <w:lastRenderedPageBreak/>
        <w:t>потребности отрасли);</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неиспользование норм законодательства в области образования.</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Дефицит педагогических кадров;</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Отсутствие использования развивающих, инновационных методов в работе с детьми.</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Неудовлетворительное состояние здоровья детей.</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нарушение законодательства не обеспечивается защита образовательных учреждений от штрафов и пеней, начисляемых независимо от отсутствия или несвоевременного финансирования из районного бюджета. Образовательные учреждения вследствие нерегулярности оплаты за отопление, энергоснабжения и других коммунальных услуг отключаются от систем жизнеобеспечения.</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последние годы отчетливо проявилась тенденция ухудшения социального положения и здоровья детей. Не последнюю роль в ухудшении здоровья детей имеет тяжелая ситуация, в которой оказались сами общеобразовательные учреждения. Учебно-материальная база их устаревает, а иногда и приходит в негодность, темпы износа зданий существенно опережают их реконструкцию и нового строительства.</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Существует динамика снижения учащихся в образовательных учреждениях района. В 2008- 2009 учебном году произошло уменьшение количества учащихся на 364 человека (темп роста 97,06 %) по сравнению с 2003- 2008 учебным годом. В 2009- 2010 учебном году количество учащихся сократилось на 660 человек (темп роста 92,19%) по сравнению с периодом 2008- 2009 г.г. Это обусловлено рядом социально-экономических факторов, характерных для развития многих регионов РФ, главным образом связанных с ухудшением демографической ситуацией.</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 только по району, но и по всей области существует проблема проведения занятий для учащихся в общеобразовательных школах в 2 смены.</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Достижение современного уровня содержания общего образования, гуманизация, ориентация на развитие личности, формирование системы жизненных ценностей социальных норм и других элементов культуры являются наиболее важной проблемой.</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Растет угроза нарушения единства образовательного пространства в части обучения русскому языку как государственному языку.</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Проблемами остаются отсутствие необходимой преемственности уровней дошкольного образования и начального общего образования, а также начального общего и основного общего, появление многопредметности в начальной школе. Усугубляются проблемы разрыва преемственности уровней образования общего и высшего профессионального. На протяжении ряда лет уменьшается количество выпускников школ, способных выдержать вступительные экзамены в ВУЗы без дополнительной подготовки.</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Уменьшается контингент детей в дошкольных образовательных учреждениях. Согласно прогнозу, к 2015 г. произойдет уменьшение количества абитуриентов, особенно кризисные годами станут 2011- 2012.</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Увеличилось число детей-сирот и детей, оставшихся без попечения родителей с 117 в 1995 до 158 в 2000 году.</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Возрастает число детей с ограниченными возможностями здоровья и детей, нуждающихся в психологической коррекции.</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Особое беспокойство вызывают дети, которые по различным причинам не посещают школу, не получают образование, их количество возросло и составляет 19 по городу и району (на 1.10.2010 г.). На 1.12.2010 г. - 5 человек.</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Серьезные проблемы в учреждениях дополнительного образования по финансированию и укреплению материальной базы, инновационной деятельности.</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Важнейшей проблемой является восстановление единства систем обучения </w:t>
      </w:r>
      <w:r>
        <w:rPr>
          <w:rFonts w:ascii="Times New Roman CYR" w:hAnsi="Times New Roman CYR" w:cs="Times New Roman CYR"/>
          <w:sz w:val="28"/>
          <w:szCs w:val="28"/>
        </w:rPr>
        <w:lastRenderedPageBreak/>
        <w:t>и воспитания.</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Наблюдается рост правонарушений среди несовершеннолетних. За последние 5 лет он возрос более чем в два раза. Снизилась научная деятельность, раннее ведущаяся в общеобразовательных учреждениях города и района, из-за отсутствия финансирования, сокращения ставок.</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Положения раздела I являются основой определения задач, целей и направлений развития системы образования в городе Чехове и Чеховском районе.</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Раздел III. Цели и задачи и сроки реализации Программы.</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Главной целью Программы является развитие системы образования в интересах формирования гармонично развитой, социально-активной, творческой личности.</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реализации Программы обеспечивается достижение следующих целей:</w:t>
      </w:r>
    </w:p>
    <w:p w:rsidR="00FE5AE9" w:rsidRDefault="00920100">
      <w:pPr>
        <w:widowControl w:val="0"/>
        <w:tabs>
          <w:tab w:val="left" w:pos="720"/>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предоставление на территории района и города общедоступного бесплатного начального общего, основного общего, среднего (полного) общего образования, начального профессионального образования;</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создание условий для реализации конституционных прав граждан на образование;</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гармоничное развитие личности и ее творческих способностей на основе формирования мотивации необходимости образования и самообразования в течение всей жизни;</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сохранение и развитие единого образовательного пространства в районе;</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формирование системы демократического государственно-общественного управления образованием;</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совершенствование взаимодействия органов местного </w:t>
      </w:r>
      <w:r>
        <w:rPr>
          <w:rFonts w:ascii="Times New Roman CYR" w:hAnsi="Times New Roman CYR" w:cs="Times New Roman CYR"/>
          <w:sz w:val="28"/>
          <w:szCs w:val="28"/>
        </w:rPr>
        <w:lastRenderedPageBreak/>
        <w:t>самоуправления района и учреждений и организаций всех видов собственности, общественных организаций в области развития образования (района и города);</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достижение эффективности качества образования и воспитания.</w:t>
      </w:r>
    </w:p>
    <w:p w:rsidR="00FE5AE9" w:rsidRDefault="00920100">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процессе достижения целей Программы решаются следующие задачи:</w:t>
      </w:r>
    </w:p>
    <w:p w:rsidR="00FE5AE9" w:rsidRDefault="00920100">
      <w:pPr>
        <w:widowControl w:val="0"/>
        <w:tabs>
          <w:tab w:val="left" w:pos="720"/>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структурная перестройка внутри системы образования, направленная на совершенствование содержания образования;</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укрепление взаимосвязей образования, науки, культуры;</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сохранение и развитие общедоступной системы дополнительного образования детей;</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возвращение в общеобразовательные учреждения детей, находящихся вне их;</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усиление воспитательной функции образования, направленной на формирование гражданственности, трудолюбия, нравственности, уважения к правам, любви к Родине, семье, окружающей природе;</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восстановление научного и технического творчества учащихся;</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обеспечение деятельности общественных детских и молодежных организаций;</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обеспечение совершенствования системы государственной аттестации педагогических работников;</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мониторинг состояния системы образования;</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закрепление и совершенствование демократических основ управления системой образования;</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формирование экономических механизмов обеспечения системы образования финансовыми, материально-техническими ресурсами;</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совершенствование социальной защиты детей и работников образования.</w:t>
      </w:r>
    </w:p>
    <w:p w:rsidR="00FE5AE9" w:rsidRDefault="00920100">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Программа будет реализоваться в 2011 - 2015 годах.</w:t>
      </w:r>
    </w:p>
    <w:p w:rsidR="00FE5AE9" w:rsidRDefault="00920100">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 этом в 2012 году намечается осуществить меры по сохранению и поддержанию системы образования и подготовить условия для ее последующего развития.</w:t>
      </w:r>
    </w:p>
    <w:p w:rsidR="00FE5AE9" w:rsidRDefault="00920100">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Раздел III. Направления реализации Программы и ожидаемые результаты</w:t>
      </w:r>
    </w:p>
    <w:p w:rsidR="00FE5AE9" w:rsidRDefault="00920100">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Подраздел I. Общие направления развития образования</w:t>
      </w:r>
    </w:p>
    <w:p w:rsidR="00FE5AE9" w:rsidRDefault="00920100">
      <w:pPr>
        <w:widowControl w:val="0"/>
        <w:tabs>
          <w:tab w:val="left" w:pos="720"/>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сохранение единства образовательного пространства;</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развитие системы образовательных учреждений различных форм, типов, видов;</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дальнейшее развитие и обеспечение демократического, государственно-общественного характера управления системой образования в районе и городе;</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восстановление и развитие воспитательных функций образовательных учреждений и системы образования в целом;</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организация выполнения Программы управления образования, администраций района и города.</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Подраздел IV. Обеспечение реализации и развития образовательных программ</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Дошкольные образовательные учреждения работают в соответствии с Федеральным законом “Об образовании”, “Типовым положением с дошкольном образовательном учреждении”, “Уставом”, другими учредительными документами, законными актами. Детские сады имеют лицензию на образовательную деятельность, из них</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Муниципальных ДОУ- 39</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Ведомственных- 3.</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ДОУ расположены в городе, 27 ДОУ- на селе.</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Прошли аттестацию и государственную аккредитацию в соответствии с “Положением о порядке аттестации и государственной аккредитации </w:t>
      </w:r>
      <w:r>
        <w:rPr>
          <w:rFonts w:ascii="Times New Roman CYR" w:hAnsi="Times New Roman CYR" w:cs="Times New Roman CYR"/>
          <w:sz w:val="28"/>
          <w:szCs w:val="28"/>
        </w:rPr>
        <w:lastRenderedPageBreak/>
        <w:t>образовательных учреждений” все образовательные учреждения района.</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Содержание дошкольного образования представлено комплексно-целевыми программами:</w:t>
      </w:r>
    </w:p>
    <w:p w:rsidR="00FE5AE9" w:rsidRDefault="00920100">
      <w:pPr>
        <w:widowControl w:val="0"/>
        <w:tabs>
          <w:tab w:val="left" w:pos="0"/>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7.</w:t>
      </w:r>
      <w:r>
        <w:rPr>
          <w:rFonts w:ascii="Times New Roman CYR" w:hAnsi="Times New Roman CYR" w:cs="Times New Roman CYR"/>
          <w:sz w:val="28"/>
          <w:szCs w:val="28"/>
        </w:rPr>
        <w:tab/>
        <w:t>Программа «Воспитание и обучение в детском саду» под редакцией М.А. Васильевой с учетом методических рекомендаций «Ориентиры» и требования к обновлению содержания дошкольного образования Коротковой и Михайленко реализуют все ДОУ.</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8.</w:t>
      </w:r>
      <w:r>
        <w:rPr>
          <w:rFonts w:ascii="Times New Roman CYR" w:hAnsi="Times New Roman CYR" w:cs="Times New Roman CYR"/>
          <w:sz w:val="28"/>
          <w:szCs w:val="28"/>
        </w:rPr>
        <w:tab/>
        <w:t>«Из детства в отрочество» - 4 ДОУ (№№ 1, 4, 14, 20).</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«Развитие» Венгер - 1 (ДОУ № 11).</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«Сообщество» - 1 (ДОУ № 13).</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Образовательные системы «Школа - 2000», «Школа - 2100» под руководством А.А. Леонтьева - 6 (ДОУ №№ 12, 16, 24, 26, 30, д/о Г-9).</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«Кроха» - 1 (ДОУ № 2).</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Основной программой в работе учреждений является программа “Детство”, работают в режиме развития.</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“Воспитание экологической культуры дошкольников” С. Николаевой;</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“Наш дом природа” Н. Рыжовой;</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“Основы безопасности жизнедеятельности” Н. Авдеевой;</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“Приобщение детей к истокам русской народной культуры” О. Князевой;</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“Музыкальное развитие детей” О. Радыновой;</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“Концепция Карла Орфа” в музыкальном развитии детей.</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“Гармония” Л. Тарасовой по музыкально-эстетическому развитию.</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“Старт” Л. Николаевой”;</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“Я и мое здоровье” В. Мельничук;</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Методики Н.А. Зайцева;</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“Обучение грамоте”,</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“Стосчет”.</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Активные методы обучения (технология)</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“Триз” Шустермана.</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направлениями деятельности в развитии дошкольного образования в Чеховском районе и г. Чехове должны стать</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Обеспечить общедоступность услуг дошкольных образовательных учреждений ля всех групп населения.</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Сохранение сети детских садов в городе и районе.</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Создание условий в детских садах для индивидуального развития детей.</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Развитие разнообразных типов и видов учреждений.</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Внедрение программ и передовых технологий, методик в соответствии с государственным стандартом образования.</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Развитие различных форм сотрудничества с семьей. Изучение спроса населения в дополнительных услугах.</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Обеспечение преемственности дошкольного и начального образования, интеграции дополнительного образования.</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Разработка образовательно-воспитательных методик работы для детей с ограниченными возможностями здоровья.. Ожидаемые результаты реализации “Программы развития”</w:t>
      </w:r>
    </w:p>
    <w:p w:rsidR="00FE5AE9" w:rsidRDefault="00920100">
      <w:pPr>
        <w:widowControl w:val="0"/>
        <w:tabs>
          <w:tab w:val="left" w:pos="720"/>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Создание учреждений различных типов, видов.</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Реализация новых программ, педагогических технологий, методик, к формированию среды развития детей их личностному развитию.</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Обеспечение квалифицированной педагогической консультативной помощи родителям.</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Создание дополнительных услуг для детей, не посещающих детские сады.</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Обобщение передового педагогического опыта работы с детьми с задержкой психического развития по коррекции развития и предупреждения </w:t>
      </w:r>
      <w:r>
        <w:rPr>
          <w:rFonts w:ascii="Times New Roman CYR" w:hAnsi="Times New Roman CYR" w:cs="Times New Roman CYR"/>
          <w:sz w:val="28"/>
          <w:szCs w:val="28"/>
        </w:rPr>
        <w:lastRenderedPageBreak/>
        <w:t>возможных трудностей в процессе школьного обучения (подготовка к обучению грамоте, совершенствование познавательных процессов и обеспечение личной готовности к обучению в школе).</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Укрупнено можно выделить следующие мероприятия по дальнейшему развитию системы образования Чеховского района Московской области.</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Создание детских садов комбинированного вида (в сочетании: общеразвивающие, компенсирующие, оздоровительные группы).</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Создание на базе МДОУ № 12 г. Чехова “Центра развития ребенка”.</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Создание на базе основных общеобразовательных школ детских садов.</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Подбор и адаптация новых технологий, методик, форм работы с детьми, выявление уровня умственного развития детей.</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 Внедрение программы “Основы безопасности жизнедеятельности детей”</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 Углубленное изучение проблемы экологического воспитания детей дошкольного возраста на основе программы “Мы”</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.6 Создание групп кратковременного пребывания для детей не посещающих детские сады на основе эксперимента.</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.7Пропаганда среди родителей проблемы экологического воспитания дошкольников.</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.8 Проведение “Дня Земли” (рисунки на асфальте, посадка деревьев, городские природозащитные акции).</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.9 Расширение сети дополнительных услуг (кружков, секций) на базе дошкольных образовательных учреждений.</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.10 Преемственность во внедрении программы по “Основам безопасности жизнедеятельности” и экологическому воспитанию дошкольников и школьников.</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.11. Организация физического воспитания на основе диагностики данных углубленного осмотра детей с комплексной оценкой их здоровья, обеспечение </w:t>
      </w:r>
      <w:r>
        <w:rPr>
          <w:rFonts w:ascii="Times New Roman CYR" w:hAnsi="Times New Roman CYR" w:cs="Times New Roman CYR"/>
          <w:sz w:val="28"/>
          <w:szCs w:val="28"/>
        </w:rPr>
        <w:lastRenderedPageBreak/>
        <w:t>дифференцированного подхода в укреплении здоровья детей.</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.12. Оснащение “Уголков здоровья” нестандартным оборудованием по развитию движений.</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.13 Включение в курс образовательных учреждений районного компонента “Народоведения”, новые курсы школьного компонента “История религии”, “Риторика”, “Культура речи”, “Краеведение”, “Экология” и другие.</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.14 Дальнейшее развитие сети классов с углубленным изучением отдельных предметов, их 43 и профильным обучением 55 классов, что позволяет улучшить подготовку одаренных детей.</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.15 Для поддержки одаренных детей в школах необходимо разработать и осуществить специальные программы, организовать олимпиады, конкурсы, выпускникам выдаются целевые направления для поступления в ВУЗы.</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.16 С целью коррекции развития детей в школах необходимо создать классы выравнивания.</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.17. Создать мини-кружки для детей с ограниченными возможностями здоровья на базе школ УВК</w:t>
      </w:r>
    </w:p>
    <w:p w:rsidR="00FE5AE9"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.19 Открыть кружки нового направления: журналистика (13 - 14 лет); экономика (15 - 16 лет); менеджмент (15 - 16 лет).</w:t>
      </w:r>
    </w:p>
    <w:p w:rsidR="00920100" w:rsidRDefault="009201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.2Открыть подростковые клубы и объединения: дизайн студия (15 -16 лет); музыкальный (8 - 17 лет); клуб здорового образа жизни.</w:t>
      </w:r>
    </w:p>
    <w:p w:rsidR="003A7ACC" w:rsidRPr="00B66F8F" w:rsidRDefault="003A7ACC" w:rsidP="003A7ACC">
      <w:pPr>
        <w:jc w:val="center"/>
        <w:rPr>
          <w:rFonts w:eastAsiaTheme="minorHAnsi"/>
          <w:lang w:eastAsia="en-US"/>
        </w:rPr>
      </w:pPr>
    </w:p>
    <w:tbl>
      <w:tblPr>
        <w:tblStyle w:val="a9"/>
        <w:tblW w:w="0" w:type="auto"/>
        <w:tblLook w:val="04A0" w:firstRow="1" w:lastRow="0" w:firstColumn="1" w:lastColumn="0" w:noHBand="0" w:noVBand="1"/>
      </w:tblPr>
      <w:tblGrid>
        <w:gridCol w:w="3227"/>
        <w:gridCol w:w="6678"/>
      </w:tblGrid>
      <w:tr w:rsidR="003A7ACC" w:rsidRPr="00B66F8F" w:rsidTr="003D16D7">
        <w:tc>
          <w:tcPr>
            <w:tcW w:w="3227" w:type="dxa"/>
          </w:tcPr>
          <w:p w:rsidR="003A7ACC" w:rsidRPr="00B66F8F" w:rsidRDefault="003A7ACC" w:rsidP="003D16D7">
            <w:pPr>
              <w:spacing w:line="480" w:lineRule="auto"/>
              <w:jc w:val="center"/>
              <w:rPr>
                <w:rFonts w:eastAsiaTheme="minorHAnsi"/>
                <w:lang w:eastAsia="en-US"/>
              </w:rPr>
            </w:pPr>
          </w:p>
          <w:p w:rsidR="003A7ACC" w:rsidRPr="00B66F8F" w:rsidRDefault="003A7ACC" w:rsidP="003D16D7">
            <w:pPr>
              <w:spacing w:line="480" w:lineRule="auto"/>
              <w:jc w:val="center"/>
              <w:rPr>
                <w:rFonts w:eastAsiaTheme="minorHAnsi"/>
                <w:lang w:val="en-US" w:eastAsia="en-US"/>
              </w:rPr>
            </w:pPr>
            <w:hyperlink r:id="rId20" w:history="1">
              <w:r w:rsidRPr="00B66F8F">
                <w:rPr>
                  <w:rFonts w:ascii="Arial Black" w:eastAsiaTheme="minorHAnsi" w:hAnsi="Arial Black"/>
                  <w:b/>
                  <w:color w:val="0000FF" w:themeColor="hyperlink"/>
                  <w:sz w:val="28"/>
                  <w:szCs w:val="28"/>
                  <w:u w:val="single"/>
                  <w:lang w:val="en-US" w:eastAsia="en-US"/>
                </w:rPr>
                <w:t>КНИЖНЫЙ  МАГАЗИН</w:t>
              </w:r>
            </w:hyperlink>
          </w:p>
        </w:tc>
        <w:tc>
          <w:tcPr>
            <w:tcW w:w="6678" w:type="dxa"/>
          </w:tcPr>
          <w:p w:rsidR="003A7ACC" w:rsidRPr="00B66F8F" w:rsidRDefault="003A7ACC" w:rsidP="003D16D7">
            <w:pPr>
              <w:spacing w:line="480" w:lineRule="auto"/>
              <w:jc w:val="center"/>
              <w:rPr>
                <w:rFonts w:eastAsiaTheme="minorHAnsi"/>
                <w:lang w:val="en-US" w:eastAsia="en-US"/>
              </w:rPr>
            </w:pPr>
            <w:r w:rsidRPr="00B66F8F">
              <w:rPr>
                <w:rFonts w:eastAsiaTheme="minorHAnsi"/>
                <w:noProof/>
              </w:rPr>
              <w:drawing>
                <wp:inline distT="0" distB="0" distL="0" distR="0" wp14:anchorId="1F72F160" wp14:editId="17A2B14A">
                  <wp:extent cx="3784600" cy="1257300"/>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3A7ACC" w:rsidRPr="00B66F8F" w:rsidRDefault="003A7ACC" w:rsidP="003A7ACC">
      <w:pPr>
        <w:spacing w:line="480" w:lineRule="auto"/>
        <w:jc w:val="center"/>
        <w:rPr>
          <w:rFonts w:ascii="Arial Black" w:eastAsiaTheme="minorHAnsi" w:hAnsi="Arial Black"/>
          <w:b/>
          <w:sz w:val="16"/>
          <w:szCs w:val="16"/>
          <w:lang w:eastAsia="en-US"/>
        </w:rPr>
      </w:pPr>
    </w:p>
    <w:tbl>
      <w:tblPr>
        <w:tblStyle w:val="a9"/>
        <w:tblW w:w="0" w:type="auto"/>
        <w:tblLook w:val="04A0" w:firstRow="1" w:lastRow="0" w:firstColumn="1" w:lastColumn="0" w:noHBand="0" w:noVBand="1"/>
      </w:tblPr>
      <w:tblGrid>
        <w:gridCol w:w="4952"/>
        <w:gridCol w:w="4953"/>
      </w:tblGrid>
      <w:tr w:rsidR="003A7ACC" w:rsidRPr="00B66F8F" w:rsidTr="003D16D7">
        <w:tc>
          <w:tcPr>
            <w:tcW w:w="4952" w:type="dxa"/>
          </w:tcPr>
          <w:p w:rsidR="003A7ACC" w:rsidRPr="00B66F8F" w:rsidRDefault="003A7ACC" w:rsidP="003D16D7">
            <w:pPr>
              <w:spacing w:line="480" w:lineRule="auto"/>
              <w:jc w:val="center"/>
              <w:rPr>
                <w:rFonts w:eastAsiaTheme="minorHAnsi"/>
                <w:lang w:eastAsia="en-US"/>
              </w:rPr>
            </w:pPr>
          </w:p>
          <w:p w:rsidR="003A7ACC" w:rsidRPr="00B66F8F" w:rsidRDefault="003A7ACC" w:rsidP="003D16D7">
            <w:pPr>
              <w:spacing w:line="480" w:lineRule="auto"/>
              <w:jc w:val="center"/>
              <w:rPr>
                <w:rFonts w:eastAsiaTheme="minorHAnsi"/>
                <w:lang w:eastAsia="en-US"/>
              </w:rPr>
            </w:pPr>
            <w:hyperlink r:id="rId22" w:history="1">
              <w:r w:rsidRPr="00B66F8F">
                <w:rPr>
                  <w:rFonts w:ascii="Arial Black" w:eastAsiaTheme="minorHAnsi" w:hAnsi="Arial Black"/>
                  <w:b/>
                  <w:color w:val="0000FF" w:themeColor="hyperlink"/>
                  <w:sz w:val="28"/>
                  <w:szCs w:val="28"/>
                  <w:u w:val="single"/>
                  <w:lang w:eastAsia="en-US"/>
                </w:rPr>
                <w:t>ТОВАРЫ для ХУДОЖНИКОВ и ДИЗАЙНЕРОВ</w:t>
              </w:r>
            </w:hyperlink>
          </w:p>
        </w:tc>
        <w:tc>
          <w:tcPr>
            <w:tcW w:w="4953" w:type="dxa"/>
          </w:tcPr>
          <w:p w:rsidR="003A7ACC" w:rsidRPr="00B66F8F" w:rsidRDefault="003A7ACC" w:rsidP="003D16D7">
            <w:pPr>
              <w:spacing w:line="480" w:lineRule="auto"/>
              <w:jc w:val="center"/>
              <w:rPr>
                <w:rFonts w:eastAsiaTheme="minorHAnsi"/>
                <w:lang w:eastAsia="en-US"/>
              </w:rPr>
            </w:pPr>
            <w:r w:rsidRPr="00B66F8F">
              <w:rPr>
                <w:rFonts w:eastAsiaTheme="minorHAnsi"/>
                <w:noProof/>
              </w:rPr>
              <w:drawing>
                <wp:inline distT="0" distB="0" distL="0" distR="0" wp14:anchorId="57782D50" wp14:editId="386F3034">
                  <wp:extent cx="2184400" cy="1962150"/>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3A7ACC" w:rsidRPr="00B66F8F" w:rsidRDefault="003A7ACC" w:rsidP="003A7ACC">
      <w:pPr>
        <w:spacing w:line="480" w:lineRule="auto"/>
        <w:jc w:val="center"/>
        <w:rPr>
          <w:rFonts w:eastAsiaTheme="minorHAnsi"/>
          <w:sz w:val="16"/>
          <w:szCs w:val="16"/>
          <w:lang w:eastAsia="en-US"/>
        </w:rPr>
      </w:pPr>
    </w:p>
    <w:tbl>
      <w:tblPr>
        <w:tblStyle w:val="a9"/>
        <w:tblW w:w="0" w:type="auto"/>
        <w:jc w:val="center"/>
        <w:tblLook w:val="04A0" w:firstRow="1" w:lastRow="0" w:firstColumn="1" w:lastColumn="0" w:noHBand="0" w:noVBand="1"/>
      </w:tblPr>
      <w:tblGrid>
        <w:gridCol w:w="3594"/>
        <w:gridCol w:w="3402"/>
      </w:tblGrid>
      <w:tr w:rsidR="003A7ACC" w:rsidRPr="00B66F8F" w:rsidTr="003D16D7">
        <w:trPr>
          <w:jc w:val="center"/>
        </w:trPr>
        <w:tc>
          <w:tcPr>
            <w:tcW w:w="3594" w:type="dxa"/>
          </w:tcPr>
          <w:p w:rsidR="003A7ACC" w:rsidRPr="00B66F8F" w:rsidRDefault="003A7ACC" w:rsidP="003D16D7">
            <w:pPr>
              <w:spacing w:line="480" w:lineRule="auto"/>
              <w:jc w:val="center"/>
              <w:rPr>
                <w:rFonts w:eastAsiaTheme="minorHAnsi"/>
                <w:lang w:eastAsia="en-US"/>
              </w:rPr>
            </w:pPr>
          </w:p>
          <w:p w:rsidR="003A7ACC" w:rsidRPr="00B66F8F" w:rsidRDefault="003A7ACC" w:rsidP="003D16D7">
            <w:pPr>
              <w:spacing w:line="480" w:lineRule="auto"/>
              <w:jc w:val="center"/>
              <w:rPr>
                <w:rFonts w:ascii="Arial Black" w:eastAsiaTheme="minorHAnsi" w:hAnsi="Arial Black" w:cs="Arial"/>
                <w:b/>
                <w:sz w:val="28"/>
                <w:szCs w:val="28"/>
                <w:lang w:eastAsia="en-US"/>
              </w:rPr>
            </w:pPr>
            <w:hyperlink r:id="rId24" w:history="1">
              <w:r w:rsidRPr="00B66F8F">
                <w:rPr>
                  <w:rFonts w:ascii="Arial Black" w:eastAsiaTheme="minorHAnsi" w:hAnsi="Arial Black"/>
                  <w:b/>
                  <w:color w:val="0000FF" w:themeColor="hyperlink"/>
                  <w:sz w:val="28"/>
                  <w:szCs w:val="28"/>
                  <w:u w:val="single"/>
                  <w:lang w:eastAsia="en-US"/>
                </w:rPr>
                <w:t>АУДИОЛЕКЦИИ</w:t>
              </w:r>
            </w:hyperlink>
          </w:p>
        </w:tc>
        <w:tc>
          <w:tcPr>
            <w:tcW w:w="3402" w:type="dxa"/>
          </w:tcPr>
          <w:p w:rsidR="003A7ACC" w:rsidRPr="00B66F8F" w:rsidRDefault="003A7ACC" w:rsidP="003D16D7">
            <w:pPr>
              <w:spacing w:line="480" w:lineRule="auto"/>
              <w:jc w:val="center"/>
              <w:rPr>
                <w:rFonts w:ascii="Arial Black" w:eastAsiaTheme="minorHAnsi" w:hAnsi="Arial Black" w:cs="Arial"/>
                <w:b/>
                <w:sz w:val="28"/>
                <w:szCs w:val="28"/>
                <w:lang w:eastAsia="en-US"/>
              </w:rPr>
            </w:pPr>
            <w:r w:rsidRPr="00B66F8F">
              <w:rPr>
                <w:rFonts w:eastAsiaTheme="minorHAnsi"/>
                <w:noProof/>
              </w:rPr>
              <w:drawing>
                <wp:inline distT="0" distB="0" distL="0" distR="0" wp14:anchorId="1C990213" wp14:editId="34F15BCF">
                  <wp:extent cx="1600200" cy="16002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3A7ACC" w:rsidRPr="00B66F8F" w:rsidRDefault="003A7ACC" w:rsidP="003A7ACC">
      <w:pPr>
        <w:spacing w:line="480" w:lineRule="auto"/>
        <w:jc w:val="center"/>
        <w:rPr>
          <w:rFonts w:ascii="Arial Black" w:eastAsiaTheme="minorHAnsi" w:hAnsi="Arial Black" w:cs="Arial"/>
          <w:b/>
          <w:sz w:val="16"/>
          <w:szCs w:val="16"/>
          <w:lang w:val="en-US" w:eastAsia="en-US"/>
        </w:rPr>
      </w:pPr>
    </w:p>
    <w:tbl>
      <w:tblPr>
        <w:tblStyle w:val="a9"/>
        <w:tblW w:w="0" w:type="auto"/>
        <w:tblLook w:val="04A0" w:firstRow="1" w:lastRow="0" w:firstColumn="1" w:lastColumn="0" w:noHBand="0" w:noVBand="1"/>
      </w:tblPr>
      <w:tblGrid>
        <w:gridCol w:w="3652"/>
        <w:gridCol w:w="6253"/>
      </w:tblGrid>
      <w:tr w:rsidR="003A7ACC" w:rsidRPr="00B66F8F" w:rsidTr="003D16D7">
        <w:tc>
          <w:tcPr>
            <w:tcW w:w="3652" w:type="dxa"/>
          </w:tcPr>
          <w:p w:rsidR="003A7ACC" w:rsidRPr="00B66F8F" w:rsidRDefault="003A7ACC" w:rsidP="003D16D7">
            <w:pPr>
              <w:spacing w:line="480" w:lineRule="auto"/>
              <w:jc w:val="center"/>
              <w:rPr>
                <w:rFonts w:eastAsiaTheme="minorHAnsi"/>
                <w:lang w:eastAsia="en-US"/>
              </w:rPr>
            </w:pPr>
          </w:p>
          <w:p w:rsidR="003A7ACC" w:rsidRPr="00B66F8F" w:rsidRDefault="003A7ACC" w:rsidP="003D16D7">
            <w:pPr>
              <w:spacing w:line="480" w:lineRule="auto"/>
              <w:jc w:val="center"/>
              <w:rPr>
                <w:rFonts w:eastAsiaTheme="minorHAnsi"/>
                <w:lang w:val="en-US" w:eastAsia="en-US"/>
              </w:rPr>
            </w:pPr>
            <w:hyperlink r:id="rId26" w:history="1">
              <w:r w:rsidRPr="00B66F8F">
                <w:rPr>
                  <w:rFonts w:ascii="Arial Black" w:eastAsiaTheme="minorHAnsi" w:hAnsi="Arial Black" w:cs="Arial"/>
                  <w:b/>
                  <w:color w:val="0000FF" w:themeColor="hyperlink"/>
                  <w:sz w:val="28"/>
                  <w:szCs w:val="28"/>
                  <w:u w:val="single"/>
                  <w:lang w:val="en-US" w:eastAsia="en-US"/>
                </w:rPr>
                <w:t>IT-специалисты: ПОВЫШЕНИЕ КВАЛИФИКАЦИИ</w:t>
              </w:r>
            </w:hyperlink>
          </w:p>
        </w:tc>
        <w:tc>
          <w:tcPr>
            <w:tcW w:w="6253" w:type="dxa"/>
          </w:tcPr>
          <w:p w:rsidR="003A7ACC" w:rsidRPr="00B66F8F" w:rsidRDefault="003A7ACC" w:rsidP="003D16D7">
            <w:pPr>
              <w:spacing w:line="480" w:lineRule="auto"/>
              <w:jc w:val="center"/>
              <w:rPr>
                <w:rFonts w:eastAsiaTheme="minorHAnsi"/>
                <w:lang w:val="en-US" w:eastAsia="en-US"/>
              </w:rPr>
            </w:pPr>
            <w:r w:rsidRPr="00B66F8F">
              <w:rPr>
                <w:rFonts w:eastAsiaTheme="minorHAnsi"/>
                <w:noProof/>
              </w:rPr>
              <w:drawing>
                <wp:inline distT="0" distB="0" distL="0" distR="0" wp14:anchorId="2A5BE3ED" wp14:editId="2243B8C4">
                  <wp:extent cx="3752850" cy="1843214"/>
                  <wp:effectExtent l="0" t="0" r="0"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3A7ACC" w:rsidRDefault="003A7A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bookmarkStart w:id="0" w:name="_GoBack"/>
      <w:bookmarkEnd w:id="0"/>
    </w:p>
    <w:sectPr w:rsidR="003A7ACC">
      <w:headerReference w:type="even" r:id="rId28"/>
      <w:headerReference w:type="default" r:id="rId29"/>
      <w:footerReference w:type="even" r:id="rId30"/>
      <w:footerReference w:type="default" r:id="rId31"/>
      <w:headerReference w:type="first" r:id="rId32"/>
      <w:footerReference w:type="first" r:id="rId33"/>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68EF" w:rsidRDefault="001368EF" w:rsidP="00F90C43">
      <w:pPr>
        <w:spacing w:after="0" w:line="240" w:lineRule="auto"/>
      </w:pPr>
      <w:r>
        <w:separator/>
      </w:r>
    </w:p>
  </w:endnote>
  <w:endnote w:type="continuationSeparator" w:id="0">
    <w:p w:rsidR="001368EF" w:rsidRDefault="001368EF" w:rsidP="00F90C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CYR">
    <w:panose1 w:val="02020603050405020304"/>
    <w:charset w:val="CC"/>
    <w:family w:val="roman"/>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C43" w:rsidRDefault="00F90C43">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C43" w:rsidRDefault="00F90C43" w:rsidP="00F90C43">
    <w:pPr>
      <w:pStyle w:val="a5"/>
    </w:pPr>
    <w:r>
      <w:t xml:space="preserve">Вернуться в каталог готовых дипломов и магистерских диссертаций </w:t>
    </w:r>
  </w:p>
  <w:p w:rsidR="00F90C43" w:rsidRDefault="00F90C43" w:rsidP="00F90C43">
    <w:pPr>
      <w:pStyle w:val="a5"/>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C43" w:rsidRDefault="00F90C4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68EF" w:rsidRDefault="001368EF" w:rsidP="00F90C43">
      <w:pPr>
        <w:spacing w:after="0" w:line="240" w:lineRule="auto"/>
      </w:pPr>
      <w:r>
        <w:separator/>
      </w:r>
    </w:p>
  </w:footnote>
  <w:footnote w:type="continuationSeparator" w:id="0">
    <w:p w:rsidR="001368EF" w:rsidRDefault="001368EF" w:rsidP="00F90C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C43" w:rsidRDefault="00F90C43">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612" w:rsidRDefault="00717612" w:rsidP="00717612">
    <w:pPr>
      <w:pStyle w:val="a3"/>
    </w:pPr>
    <w:r>
      <w:t>Узнайте стоимость написания на заказ студенческих и аспирантских работ</w:t>
    </w:r>
  </w:p>
  <w:p w:rsidR="00F90C43" w:rsidRDefault="00717612" w:rsidP="00717612">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C43" w:rsidRDefault="00F90C43">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7230C1"/>
    <w:multiLevelType w:val="singleLevel"/>
    <w:tmpl w:val="4EBE5D98"/>
    <w:lvl w:ilvl="0">
      <w:start w:val="4"/>
      <w:numFmt w:val="decimal"/>
      <w:lvlText w:val="%1."/>
      <w:legacy w:legacy="1" w:legacySpace="0" w:legacyIndent="211"/>
      <w:lvlJc w:val="left"/>
      <w:rPr>
        <w:rFonts w:ascii="Times New Roman CYR" w:hAnsi="Times New Roman CYR" w:cs="Times New Roman CYR" w:hint="default"/>
      </w:rPr>
    </w:lvl>
  </w:abstractNum>
  <w:abstractNum w:abstractNumId="1">
    <w:nsid w:val="7A3B0C65"/>
    <w:multiLevelType w:val="singleLevel"/>
    <w:tmpl w:val="860260FE"/>
    <w:lvl w:ilvl="0">
      <w:start w:val="1"/>
      <w:numFmt w:val="decimal"/>
      <w:lvlText w:val="%1."/>
      <w:legacy w:legacy="1" w:legacySpace="0" w:legacyIndent="216"/>
      <w:lvlJc w:val="left"/>
      <w:rPr>
        <w:rFonts w:ascii="Times New Roman CYR" w:hAnsi="Times New Roman CYR" w:cs="Times New Roman CYR"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7D3A"/>
    <w:rsid w:val="001368EF"/>
    <w:rsid w:val="001B7D3A"/>
    <w:rsid w:val="003A7ACC"/>
    <w:rsid w:val="006D7622"/>
    <w:rsid w:val="00717612"/>
    <w:rsid w:val="0081729B"/>
    <w:rsid w:val="00920100"/>
    <w:rsid w:val="00D841E7"/>
    <w:rsid w:val="00F90C43"/>
    <w:rsid w:val="00FE5A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90C4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90C43"/>
  </w:style>
  <w:style w:type="paragraph" w:styleId="a5">
    <w:name w:val="footer"/>
    <w:basedOn w:val="a"/>
    <w:link w:val="a6"/>
    <w:uiPriority w:val="99"/>
    <w:unhideWhenUsed/>
    <w:rsid w:val="00F90C4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90C43"/>
  </w:style>
  <w:style w:type="paragraph" w:styleId="a7">
    <w:name w:val="Balloon Text"/>
    <w:basedOn w:val="a"/>
    <w:link w:val="a8"/>
    <w:uiPriority w:val="99"/>
    <w:semiHidden/>
    <w:unhideWhenUsed/>
    <w:rsid w:val="003A7AC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A7ACC"/>
    <w:rPr>
      <w:rFonts w:ascii="Tahoma" w:hAnsi="Tahoma" w:cs="Tahoma"/>
      <w:sz w:val="16"/>
      <w:szCs w:val="16"/>
    </w:rPr>
  </w:style>
  <w:style w:type="table" w:styleId="a9">
    <w:name w:val="Table Grid"/>
    <w:basedOn w:val="a1"/>
    <w:uiPriority w:val="59"/>
    <w:rsid w:val="003A7A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90C4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90C43"/>
  </w:style>
  <w:style w:type="paragraph" w:styleId="a5">
    <w:name w:val="footer"/>
    <w:basedOn w:val="a"/>
    <w:link w:val="a6"/>
    <w:uiPriority w:val="99"/>
    <w:unhideWhenUsed/>
    <w:rsid w:val="00F90C4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90C43"/>
  </w:style>
  <w:style w:type="paragraph" w:styleId="a7">
    <w:name w:val="Balloon Text"/>
    <w:basedOn w:val="a"/>
    <w:link w:val="a8"/>
    <w:uiPriority w:val="99"/>
    <w:semiHidden/>
    <w:unhideWhenUsed/>
    <w:rsid w:val="003A7AC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A7ACC"/>
    <w:rPr>
      <w:rFonts w:ascii="Tahoma" w:hAnsi="Tahoma" w:cs="Tahoma"/>
      <w:sz w:val="16"/>
      <w:szCs w:val="16"/>
    </w:rPr>
  </w:style>
  <w:style w:type="table" w:styleId="a9">
    <w:name w:val="Table Grid"/>
    <w:basedOn w:val="a1"/>
    <w:uiPriority w:val="59"/>
    <w:rsid w:val="003A7A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hyperlink" Target="http://&#1091;&#1095;&#1077;&#1073;&#1085;&#1080;&#1082;&#1080;.&#1080;&#1085;&#1092;&#1086;&#1088;&#1084;2000.&#1088;&#1092;/otu.shtml" TargetMode="External"/><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4.pn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hyperlink" Target="http://&#1091;&#1095;&#1077;&#1073;&#1085;&#1080;&#1082;&#1080;.&#1080;&#1085;&#1092;&#1086;&#1088;&#1084;2000.&#1088;&#1092;/chitai.shtml" TargetMode="External"/><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hyperlink" Target="http://&#1091;&#1095;&#1077;&#1073;&#1085;&#1080;&#1082;&#1080;.&#1080;&#1085;&#1092;&#1086;&#1088;&#1084;2000.&#1088;&#1092;/lectr.shtml"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image" Target="media/image2.wmf"/><Relationship Id="rId19" Type="http://schemas.openxmlformats.org/officeDocument/2006/relationships/image" Target="media/image11.wmf"/><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6.wmf"/><Relationship Id="rId22" Type="http://schemas.openxmlformats.org/officeDocument/2006/relationships/hyperlink" Target="http://&#1091;&#1095;&#1077;&#1073;&#1085;&#1080;&#1082;&#1080;.&#1080;&#1085;&#1092;&#1086;&#1088;&#1084;2000.&#1088;&#1092;/kar.shtml" TargetMode="External"/><Relationship Id="rId27" Type="http://schemas.openxmlformats.org/officeDocument/2006/relationships/image" Target="media/image15.png"/><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130</Pages>
  <Words>27335</Words>
  <Characters>155811</Characters>
  <Application>Microsoft Office Word</Application>
  <DocSecurity>0</DocSecurity>
  <Lines>1298</Lines>
  <Paragraphs>365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182781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7</cp:revision>
  <dcterms:created xsi:type="dcterms:W3CDTF">2023-02-14T13:06:00Z</dcterms:created>
  <dcterms:modified xsi:type="dcterms:W3CDTF">2023-05-13T13:18:00Z</dcterms:modified>
</cp:coreProperties>
</file>