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07679B" w:rsidRPr="0007679B" w:rsidRDefault="0007679B" w:rsidP="0007679B">
      <w:pPr>
        <w:jc w:val="center"/>
        <w:rPr>
          <w:b/>
          <w:sz w:val="32"/>
          <w:szCs w:val="32"/>
        </w:rPr>
      </w:pPr>
      <w:r w:rsidRPr="0007679B">
        <w:rPr>
          <w:b/>
          <w:sz w:val="32"/>
          <w:szCs w:val="32"/>
        </w:rPr>
        <w:t xml:space="preserve">Самые успешные </w:t>
      </w:r>
      <w:proofErr w:type="gramStart"/>
      <w:r w:rsidRPr="0007679B">
        <w:rPr>
          <w:b/>
          <w:sz w:val="32"/>
          <w:szCs w:val="32"/>
        </w:rPr>
        <w:t>топ-менеджеры</w:t>
      </w:r>
      <w:proofErr w:type="gramEnd"/>
    </w:p>
    <w:p w:rsidR="000F4B53" w:rsidRPr="00BD0EB0" w:rsidRDefault="0007679B" w:rsidP="0007679B">
      <w:pPr>
        <w:jc w:val="center"/>
        <w:rPr>
          <w:b/>
        </w:rPr>
      </w:pPr>
      <w:proofErr w:type="spellStart"/>
      <w:r w:rsidRPr="0007679B">
        <w:rPr>
          <w:b/>
        </w:rPr>
        <w:t>Вып</w:t>
      </w:r>
      <w:proofErr w:type="spellEnd"/>
      <w:r w:rsidRPr="0007679B">
        <w:rPr>
          <w:b/>
        </w:rPr>
        <w:t>. 2</w:t>
      </w:r>
    </w:p>
    <w:p w:rsidR="00AC252F" w:rsidRPr="00BD0EB0" w:rsidRDefault="00AC252F" w:rsidP="0007679B">
      <w:pPr>
        <w:jc w:val="center"/>
        <w:rPr>
          <w:b/>
        </w:rPr>
      </w:pPr>
    </w:p>
    <w:p w:rsidR="00BD0EB0" w:rsidRPr="00BD0EB0" w:rsidRDefault="00A9231A" w:rsidP="00BD0EB0">
      <w:pPr>
        <w:rPr>
          <w:rFonts w:ascii="Calibri" w:eastAsia="Calibri" w:hAnsi="Calibri" w:cs="Times New Roman"/>
          <w:b/>
          <w:sz w:val="32"/>
          <w:szCs w:val="32"/>
        </w:rPr>
      </w:pPr>
      <w:hyperlink r:id="rId7" w:history="1">
        <w:r w:rsidR="00BD0EB0" w:rsidRPr="00BD0EB0">
          <w:rPr>
            <w:rFonts w:ascii="Calibri" w:eastAsia="Calibri" w:hAnsi="Calibri" w:cs="Times New Roman"/>
            <w:b/>
            <w:color w:val="0563C1"/>
            <w:sz w:val="32"/>
            <w:szCs w:val="32"/>
            <w:u w:val="single"/>
          </w:rPr>
          <w:t>Вернуться в каталог сборников о лидерах и руководителях</w:t>
        </w:r>
      </w:hyperlink>
    </w:p>
    <w:p w:rsidR="00BD0EB0" w:rsidRPr="00BD0EB0" w:rsidRDefault="00A9231A" w:rsidP="00BD0EB0">
      <w:pPr>
        <w:rPr>
          <w:rFonts w:ascii="Calibri" w:eastAsia="Calibri" w:hAnsi="Calibri" w:cs="Times New Roman"/>
        </w:rPr>
      </w:pPr>
      <w:hyperlink r:id="rId8" w:history="1">
        <w:r w:rsidR="00BD0EB0" w:rsidRPr="00BD0EB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BD0EB0" w:rsidRPr="00BD0EB0">
          <w:rPr>
            <w:rFonts w:ascii="Calibri" w:eastAsia="Calibri" w:hAnsi="Calibri" w:cs="Times New Roman"/>
            <w:b/>
            <w:color w:val="0000FF"/>
            <w:sz w:val="32"/>
            <w:szCs w:val="32"/>
            <w:u w:val="single"/>
          </w:rPr>
          <w:t>лайн</w:t>
        </w:r>
        <w:proofErr w:type="spellEnd"/>
        <w:r w:rsidR="00BD0EB0" w:rsidRPr="00BD0EB0">
          <w:rPr>
            <w:rFonts w:ascii="Calibri" w:eastAsia="Calibri" w:hAnsi="Calibri" w:cs="Times New Roman"/>
            <w:b/>
            <w:color w:val="0000FF"/>
            <w:sz w:val="32"/>
            <w:szCs w:val="32"/>
            <w:u w:val="single"/>
          </w:rPr>
          <w:t>-консультации. Все отрасли знаний</w:t>
        </w:r>
      </w:hyperlink>
    </w:p>
    <w:p w:rsidR="00AC252F" w:rsidRPr="00AC252F" w:rsidRDefault="00AC252F" w:rsidP="0007679B">
      <w:pPr>
        <w:jc w:val="center"/>
        <w:rPr>
          <w:b/>
        </w:rPr>
      </w:pPr>
    </w:p>
    <w:p w:rsidR="000F4B53" w:rsidRPr="000F4B53" w:rsidRDefault="000F4B53" w:rsidP="000F4B53">
      <w:pPr>
        <w:pStyle w:val="1"/>
      </w:pPr>
      <w:proofErr w:type="gramStart"/>
      <w:r w:rsidRPr="000F4B53">
        <w:t>Самые</w:t>
      </w:r>
      <w:proofErr w:type="gramEnd"/>
      <w:r w:rsidRPr="000F4B53">
        <w:t xml:space="preserve"> эффективные CEO мира</w:t>
      </w:r>
    </w:p>
    <w:p w:rsidR="000F4B53" w:rsidRPr="000F4B53" w:rsidRDefault="000F4B53" w:rsidP="000F4B53">
      <w:pPr>
        <w:rPr>
          <w:b/>
          <w:bCs/>
        </w:rPr>
      </w:pPr>
      <w:r w:rsidRPr="000F4B53">
        <w:rPr>
          <w:b/>
          <w:bCs/>
        </w:rPr>
        <w:t>23 октября 2019</w:t>
      </w:r>
    </w:p>
    <w:p w:rsidR="000F4B53" w:rsidRPr="000F4B53" w:rsidRDefault="000F4B53" w:rsidP="000F4B53">
      <w:r w:rsidRPr="000F4B53">
        <w:t xml:space="preserve">Когда в 1993 году </w:t>
      </w:r>
      <w:proofErr w:type="spellStart"/>
      <w:r w:rsidRPr="000F4B53">
        <w:t>Дженсен</w:t>
      </w:r>
      <w:proofErr w:type="spellEnd"/>
      <w:r w:rsidRPr="000F4B53">
        <w:t xml:space="preserve"> Хуан стал </w:t>
      </w:r>
      <w:proofErr w:type="spellStart"/>
      <w:r w:rsidRPr="000F4B53">
        <w:t>сооснователем</w:t>
      </w:r>
      <w:proofErr w:type="spellEnd"/>
      <w:r w:rsidRPr="000F4B53">
        <w:t xml:space="preserve"> NVIDIA, он сосредоточился на одной нише: создании мощных компьютерных микросхем для поддержки графики в динамичных видеоиграх. В 1999 году компания стала публичной и на протяжении 2000-х активно росла. Все это время видео</w:t>
      </w:r>
      <w:r w:rsidRPr="000F4B53">
        <w:softHyphen/>
        <w:t xml:space="preserve">игры оставались локомотивом ее роста, но уже тогда Хуан — тайваньский иммигрант, изучавший электротехнику в Университете штата Орегон и в Стэнфорде, — сумел разглядеть иные перспективы. Специалисты по анализу данных требовали от компьютеров более быстрого выполнения усложнявшихся задач, и NVIDIA начала вкладывать миллиарды долларов в НИОКР с целью создания микросхем, которые могли бы поддерживать приложения на основе искусственного интеллекта. К середине 2010-х ее микросхемы, разработанные для поддержки ИИ, заняли лидирующие позиции на этом совершенно новом рынке: они </w:t>
      </w:r>
      <w:r w:rsidRPr="000F4B53">
        <w:softHyphen/>
        <w:t xml:space="preserve">использовались в беспилотных автомобилях, роботах, </w:t>
      </w:r>
      <w:proofErr w:type="spellStart"/>
      <w:r w:rsidRPr="000F4B53">
        <w:t>дронах</w:t>
      </w:r>
      <w:proofErr w:type="spellEnd"/>
      <w:r w:rsidRPr="000F4B53">
        <w:t xml:space="preserve"> и десятках других высокотехнологичных устройств. Одного взгляда на биржевые котировки NVIDIA достаточно, чтобы убедиться, что она сделала верный выбор: с конца 2015-го по конец 2018-го акции компании выросли в цене в 14 раз — и в нынешнем году 56-летний Хуан возглавил наш рейтинг самых эффективных гендиректоров мира.</w:t>
      </w:r>
    </w:p>
    <w:p w:rsidR="000F4B53" w:rsidRPr="000F4B53" w:rsidRDefault="000F4B53" w:rsidP="000F4B53">
      <w:r w:rsidRPr="000F4B53">
        <w:t xml:space="preserve">Хуан впервые оказался на вершине рейтинга, однако в наших списках он не новичок: в 2017 году он занял третью позицию, а в 2018-м — вторую. (Лидер прошлогоднего рейтинга Пабло </w:t>
      </w:r>
      <w:proofErr w:type="spellStart"/>
      <w:r w:rsidRPr="000F4B53">
        <w:t>Исла</w:t>
      </w:r>
      <w:proofErr w:type="spellEnd"/>
      <w:r w:rsidRPr="000F4B53">
        <w:t xml:space="preserve">, глава испанского </w:t>
      </w:r>
      <w:proofErr w:type="spellStart"/>
      <w:r w:rsidRPr="000F4B53">
        <w:t>ритейлера</w:t>
      </w:r>
      <w:proofErr w:type="spellEnd"/>
      <w:r w:rsidRPr="000F4B53">
        <w:t xml:space="preserve"> </w:t>
      </w:r>
      <w:proofErr w:type="spellStart"/>
      <w:r w:rsidRPr="000F4B53">
        <w:t>Inditex</w:t>
      </w:r>
      <w:proofErr w:type="spellEnd"/>
      <w:r w:rsidRPr="000F4B53">
        <w:t>, покинул пост гендиректора и возглавил совет директоров, поэтому в нынешнем списке его нет.) Подобное постоянство свойственно многим руководителям из нашего рейтинга. В отличие от списков, опирающихся на субъективные оценки или краткосрочные метрики, наш рейтинг рассчитывается на основе объективных показателей эффективности за все время работы каждого гендиректора, и эти «карьерные баллы» чаще всего остаются стабильными. Неудивительно, что 65 глав компаний из прошлогоднего списка попали в него и в этом году.</w:t>
      </w:r>
    </w:p>
    <w:p w:rsidR="000F4B53" w:rsidRPr="000F4B53" w:rsidRDefault="000F4B53" w:rsidP="000F4B53">
      <w:r w:rsidRPr="000F4B53">
        <w:lastRenderedPageBreak/>
        <w:t xml:space="preserve">Им не помешало даже то, что мы немного изменили методику подсчета. С 2015 года мы учитываем не только финансовые результаты, но и показатели экологической, социальной и корпоративной ответственности (ESG). В 2015—2018 годах показатели ESG определяли итоговый рейтинг каждого гендиректора лишь на 20%. В этом году мы увеличили их вес до 30%. (См. врезку «Как мы составляли рейтинг».) Это изменение отражает тот факт, что все больше людей и фондов, принимая решения об инвестициях, руководствуются далеко не только стремлением получить прибыль. Вот лишь одно из проявлений этой тенденции: </w:t>
      </w:r>
      <w:r w:rsidR="0007679B">
        <w:t xml:space="preserve"> </w:t>
      </w:r>
      <w:r w:rsidRPr="000F4B53">
        <w:t xml:space="preserve">в августе 2019 </w:t>
      </w:r>
      <w:r w:rsidR="0007679B">
        <w:t xml:space="preserve"> </w:t>
      </w:r>
      <w:r w:rsidRPr="000F4B53">
        <w:t>года 181 руководитель американских компаний (все они члены Круглого стола бизнеса) подписал заявление о том, что корпорации призваны обслуживать интересы не только акционеров, но и еще четырех групп: сотрудников, клиентов, поставщиков и сообществ.</w:t>
      </w:r>
    </w:p>
    <w:p w:rsidR="000F4B53" w:rsidRPr="000F4B53" w:rsidRDefault="000F4B53" w:rsidP="000F4B53">
      <w:r w:rsidRPr="000F4B53">
        <w:t xml:space="preserve">Увеличение веса ESG в итоговом рейтинге повлекло потери: из топ-100 исчез глава </w:t>
      </w:r>
      <w:proofErr w:type="spellStart"/>
      <w:r w:rsidRPr="000F4B53">
        <w:t>Amazon</w:t>
      </w:r>
      <w:proofErr w:type="spellEnd"/>
      <w:r w:rsidRPr="000F4B53">
        <w:t xml:space="preserve"> </w:t>
      </w:r>
      <w:proofErr w:type="spellStart"/>
      <w:r w:rsidRPr="000F4B53">
        <w:t>Джефф</w:t>
      </w:r>
      <w:proofErr w:type="spellEnd"/>
      <w:r w:rsidRPr="000F4B53">
        <w:t xml:space="preserve"> </w:t>
      </w:r>
      <w:proofErr w:type="spellStart"/>
      <w:r w:rsidRPr="000F4B53">
        <w:t>Безос</w:t>
      </w:r>
      <w:proofErr w:type="spellEnd"/>
      <w:r w:rsidRPr="000F4B53">
        <w:t xml:space="preserve">. По финансовым показателям </w:t>
      </w:r>
      <w:proofErr w:type="spellStart"/>
      <w:r w:rsidRPr="000F4B53">
        <w:t>Безос</w:t>
      </w:r>
      <w:proofErr w:type="spellEnd"/>
      <w:r w:rsidRPr="000F4B53">
        <w:t xml:space="preserve"> был лучшим </w:t>
      </w:r>
      <w:proofErr w:type="gramStart"/>
      <w:r w:rsidRPr="000F4B53">
        <w:t>гендиректором</w:t>
      </w:r>
      <w:proofErr w:type="gramEnd"/>
      <w:r w:rsidRPr="000F4B53">
        <w:t xml:space="preserve"> ежегодно начиная с 2014 года. Однако в этом году он не попал в наш список из-за довольно низкого рейтинга ESG у </w:t>
      </w:r>
      <w:proofErr w:type="spellStart"/>
      <w:r w:rsidRPr="000F4B53">
        <w:t>Amazon</w:t>
      </w:r>
      <w:proofErr w:type="spellEnd"/>
      <w:r w:rsidRPr="000F4B53">
        <w:t xml:space="preserve">. По данным </w:t>
      </w:r>
      <w:proofErr w:type="spellStart"/>
      <w:r w:rsidRPr="000F4B53">
        <w:t>Sustainalytics</w:t>
      </w:r>
      <w:proofErr w:type="spellEnd"/>
      <w:r w:rsidRPr="000F4B53">
        <w:t xml:space="preserve"> (одной из двух компаний, помогающих HBR составлять рейтинг), низкие баллы связаны с теми рисками, которые возникают из-за условий труда и кадровой политики компании, а также из-за проблем с защитой данных и нарушений антимонопольного законодательства.</w:t>
      </w:r>
    </w:p>
    <w:p w:rsidR="000F4B53" w:rsidRPr="000F4B53" w:rsidRDefault="000F4B53" w:rsidP="000F4B53">
      <w:r w:rsidRPr="000F4B53">
        <w:t xml:space="preserve">Как и в прежние годы, среди 100 лидеров рейтинга слабо представлены женщины. Но есть и положительная тенденция: в нынешнем списке четыре женщины, и все они в его верхней половине. (В 2018 году в топ-100 было три женщины, а до этого — две.) Каждый год, когда мы публикуем рейтинг, некоторые читатели возмущаются </w:t>
      </w:r>
      <w:proofErr w:type="spellStart"/>
      <w:r w:rsidRPr="000F4B53">
        <w:t>недопредставленностью</w:t>
      </w:r>
      <w:proofErr w:type="spellEnd"/>
      <w:r w:rsidRPr="000F4B53">
        <w:t xml:space="preserve"> в нем женщин; и каждый год мы объясняем, что это связано не с их показателями, а с тем, как мало женщин в целом возглавляют компании; и этот факт мы тоже считаем досадным.</w:t>
      </w:r>
    </w:p>
    <w:p w:rsidR="000F4B53" w:rsidRPr="000F4B53" w:rsidRDefault="000F4B53" w:rsidP="000F4B53">
      <w:r w:rsidRPr="000F4B53">
        <w:t>Руководители, которых вы увидите на следующих страницах, как правило, занимают высший пост долгие годы — а значит, советы директоров охотно позволяют эффективным лидерам работать на протяжении многих лет. Главы компаний из списка S&amp;P 500 в среднем находятся на посту 7,2 года; лучшие гендиректора из рейтинга HBR руководят своими организациями в среднем по 15 лет. (Столь высокий средний показатель отчасти объясняется нашей методикой, по которой мы исключаем из списка тех, кто возглавляет компанию менее двух лет.)</w:t>
      </w:r>
    </w:p>
    <w:p w:rsidR="000F4B53" w:rsidRPr="000F4B53" w:rsidRDefault="000F4B53" w:rsidP="000F4B53">
      <w:r w:rsidRPr="000F4B53">
        <w:t>Как бы то ни было, инвесторы тех компаний, главы которых вошли в наш нынешний список, будут надеяться, что Хуан и другие останутся на своих местах и продолжат работать на благо организаций.</w:t>
      </w:r>
    </w:p>
    <w:p w:rsidR="000F4B53" w:rsidRPr="000F4B53" w:rsidRDefault="000F4B53" w:rsidP="000F4B53">
      <w:r w:rsidRPr="000F4B53">
        <w:rPr>
          <w:noProof/>
          <w:lang w:eastAsia="ru-RU"/>
        </w:rPr>
        <w:lastRenderedPageBreak/>
        <w:drawing>
          <wp:inline distT="0" distB="0" distL="0" distR="0">
            <wp:extent cx="7855585" cy="4572000"/>
            <wp:effectExtent l="0" t="0" r="0" b="0"/>
            <wp:docPr id="12" name="Рисунок 12" descr="https://cdn.hbr-russia.ru/image/2019/88/mnmnv/original-t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9/88/mnmnv/original-t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5585" cy="4572000"/>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4572000"/>
            <wp:effectExtent l="0" t="0" r="0" b="0"/>
            <wp:docPr id="11" name="Рисунок 11" descr="https://cdn.hbr-russia.ru/image/2019/88/wdrtc/original-15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19/88/wdrtc/original-15y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5585" cy="4572000"/>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4572000"/>
            <wp:effectExtent l="0" t="0" r="0" b="0"/>
            <wp:docPr id="10" name="Рисунок 10" descr="https://cdn.hbr-russia.ru/image/2019/88/mogir/original-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hbr-russia.ru/image/2019/88/mogir/original-t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5585" cy="4572000"/>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4572000"/>
            <wp:effectExtent l="0" t="0" r="0" b="0"/>
            <wp:docPr id="9" name="Рисунок 9" descr="https://cdn.hbr-russia.ru/image/2019/88/moxgb/original-t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hbr-russia.ru/image/2019/88/moxgb/original-te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55585" cy="4572000"/>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4572000"/>
            <wp:effectExtent l="0" t="0" r="0" b="0"/>
            <wp:docPr id="8" name="Рисунок 8" descr="https://cdn.hbr-russia.ru/image/2019/88/we4pw/original-15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hbr-russia.ru/image/2019/88/we4pw/original-15z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5585" cy="4572000"/>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37816155"/>
            <wp:effectExtent l="0" t="0" r="0" b="0"/>
            <wp:docPr id="7" name="Рисунок 7" descr="https://cdn.hbr-russia.ru/image/2019/88/wee8y/original-15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hbr-russia.ru/image/2019/88/wee8y/original-15z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55585" cy="37816155"/>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37816155"/>
            <wp:effectExtent l="0" t="0" r="0" b="0"/>
            <wp:docPr id="6" name="Рисунок 6" descr="https://cdn.hbr-russia.ru/image/2019/88/mqfyw/original-t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hbr-russia.ru/image/2019/88/mqfyw/original-tg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55585" cy="37816155"/>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37816155"/>
            <wp:effectExtent l="0" t="0" r="0" b="0"/>
            <wp:docPr id="5" name="Рисунок 5" descr="https://cdn.hbr-russia.ru/image/2019/88/mr0k6/original-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hbr-russia.ru/image/2019/88/mr0k6/original-th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55585" cy="37816155"/>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37816155"/>
            <wp:effectExtent l="0" t="0" r="0" b="0"/>
            <wp:docPr id="4" name="Рисунок 4" descr="https://cdn.hbr-russia.ru/image/2019/88/wew7t/original-1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hbr-russia.ru/image/2019/88/wew7t/original-160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55585" cy="37816155"/>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37816155"/>
            <wp:effectExtent l="0" t="0" r="0" b="0"/>
            <wp:docPr id="3" name="Рисунок 3" descr="https://cdn.hbr-russia.ru/image/2019/88/wf6nn/original-16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hbr-russia.ru/image/2019/88/wf6nn/original-160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55585" cy="37816155"/>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37816155"/>
            <wp:effectExtent l="0" t="0" r="0" b="0"/>
            <wp:docPr id="2" name="Рисунок 2" descr="https://cdn.hbr-russia.ru/image/2019/88/mu7cr/original-t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hbr-russia.ru/image/2019/88/mu7cr/original-tl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55585" cy="37816155"/>
                    </a:xfrm>
                    <a:prstGeom prst="rect">
                      <a:avLst/>
                    </a:prstGeom>
                    <a:noFill/>
                    <a:ln>
                      <a:noFill/>
                    </a:ln>
                  </pic:spPr>
                </pic:pic>
              </a:graphicData>
            </a:graphic>
          </wp:inline>
        </w:drawing>
      </w:r>
    </w:p>
    <w:p w:rsidR="000F4B53" w:rsidRPr="000F4B53" w:rsidRDefault="000F4B53" w:rsidP="000F4B53">
      <w:r w:rsidRPr="000F4B53">
        <w:rPr>
          <w:noProof/>
          <w:lang w:eastAsia="ru-RU"/>
        </w:rPr>
        <w:lastRenderedPageBreak/>
        <w:drawing>
          <wp:inline distT="0" distB="0" distL="0" distR="0">
            <wp:extent cx="7855585" cy="19114770"/>
            <wp:effectExtent l="0" t="0" r="0" b="0"/>
            <wp:docPr id="1" name="Рисунок 1" descr="https://cdn.hbr-russia.ru/image/2019/88/muq9i/original-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hbr-russia.ru/image/2019/88/muq9i/original-tm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55585" cy="19114770"/>
                    </a:xfrm>
                    <a:prstGeom prst="rect">
                      <a:avLst/>
                    </a:prstGeom>
                    <a:noFill/>
                    <a:ln>
                      <a:noFill/>
                    </a:ln>
                  </pic:spPr>
                </pic:pic>
              </a:graphicData>
            </a:graphic>
          </wp:inline>
        </w:drawing>
      </w:r>
    </w:p>
    <w:p w:rsidR="000F4B53" w:rsidRPr="000F4B53" w:rsidRDefault="000F4B53" w:rsidP="000F4B53">
      <w:r w:rsidRPr="000F4B53">
        <w:rPr>
          <w:b/>
          <w:bCs/>
        </w:rPr>
        <w:lastRenderedPageBreak/>
        <w:t>Как мы составляли рейтинг</w:t>
      </w:r>
    </w:p>
    <w:p w:rsidR="000F4B53" w:rsidRPr="000F4B53" w:rsidRDefault="000F4B53" w:rsidP="000F4B53">
      <w:r w:rsidRPr="000F4B53">
        <w:t xml:space="preserve">Чтобы составить список лучших гендиректоров мира, мы начали с компаний, которые в конце 2018 года вошли в S&amp;P </w:t>
      </w:r>
      <w:proofErr w:type="spellStart"/>
      <w:r w:rsidRPr="000F4B53">
        <w:t>Global</w:t>
      </w:r>
      <w:proofErr w:type="spellEnd"/>
      <w:r w:rsidRPr="000F4B53">
        <w:t xml:space="preserve"> 1200, — этот индекс охватывает 70% капитализации мирового фондового рынка и включает компании из Северной и Латинской Америки, Европы, Азии и Австралии. Мы узнали, кто возглавляет эти компании. Поскольку для оценки нам нужна была информация за большой период, мы не рассматривали руководителей, занимающих пост менее двух лет. Мы также исключили из списка тех, кто покинул пост до 31 июля 2019 года. Осталось 883 гендиректора из 876 компаний (у некоторых фирм несколько руководителей) из 29 стран.</w:t>
      </w:r>
    </w:p>
    <w:p w:rsidR="000F4B53" w:rsidRPr="000F4B53" w:rsidRDefault="000F4B53" w:rsidP="000F4B53">
      <w:proofErr w:type="gramStart"/>
      <w:r w:rsidRPr="000F4B53">
        <w:t xml:space="preserve">Наши аналитики под руководством Наны фон </w:t>
      </w:r>
      <w:proofErr w:type="spellStart"/>
      <w:r w:rsidRPr="000F4B53">
        <w:t>Бернут</w:t>
      </w:r>
      <w:proofErr w:type="spellEnd"/>
      <w:r w:rsidRPr="000F4B53">
        <w:t xml:space="preserve">, адъюнкт-профессора INSEAD, с участием программистов Пегги </w:t>
      </w:r>
      <w:proofErr w:type="spellStart"/>
      <w:r w:rsidRPr="000F4B53">
        <w:t>Лэм</w:t>
      </w:r>
      <w:proofErr w:type="spellEnd"/>
      <w:r w:rsidRPr="000F4B53">
        <w:t xml:space="preserve"> и </w:t>
      </w:r>
      <w:proofErr w:type="spellStart"/>
      <w:r w:rsidRPr="000F4B53">
        <w:t>Онорины</w:t>
      </w:r>
      <w:proofErr w:type="spellEnd"/>
      <w:r w:rsidRPr="000F4B53">
        <w:t xml:space="preserve"> </w:t>
      </w:r>
      <w:proofErr w:type="spellStart"/>
      <w:r w:rsidRPr="000F4B53">
        <w:t>Бунеану</w:t>
      </w:r>
      <w:proofErr w:type="spellEnd"/>
      <w:r w:rsidRPr="000F4B53">
        <w:t xml:space="preserve">, а также консультантов </w:t>
      </w:r>
      <w:proofErr w:type="spellStart"/>
      <w:r w:rsidRPr="000F4B53">
        <w:t>Моранда</w:t>
      </w:r>
      <w:proofErr w:type="spellEnd"/>
      <w:r w:rsidRPr="000F4B53">
        <w:t xml:space="preserve"> </w:t>
      </w:r>
      <w:proofErr w:type="spellStart"/>
      <w:r w:rsidRPr="000F4B53">
        <w:t>Штудера</w:t>
      </w:r>
      <w:proofErr w:type="spellEnd"/>
      <w:r w:rsidRPr="000F4B53">
        <w:t xml:space="preserve"> и </w:t>
      </w:r>
      <w:proofErr w:type="spellStart"/>
      <w:r w:rsidRPr="000F4B53">
        <w:t>Дэниела</w:t>
      </w:r>
      <w:proofErr w:type="spellEnd"/>
      <w:r w:rsidRPr="000F4B53">
        <w:t xml:space="preserve"> </w:t>
      </w:r>
      <w:proofErr w:type="spellStart"/>
      <w:r w:rsidRPr="000F4B53">
        <w:t>Бернандеса</w:t>
      </w:r>
      <w:proofErr w:type="spellEnd"/>
      <w:r w:rsidRPr="000F4B53">
        <w:t xml:space="preserve"> из </w:t>
      </w:r>
      <w:proofErr w:type="spellStart"/>
      <w:r w:rsidRPr="000F4B53">
        <w:t>Eleven</w:t>
      </w:r>
      <w:proofErr w:type="spellEnd"/>
      <w:r w:rsidRPr="000F4B53">
        <w:t xml:space="preserve"> </w:t>
      </w:r>
      <w:proofErr w:type="spellStart"/>
      <w:r w:rsidRPr="000F4B53">
        <w:t>Strategy</w:t>
      </w:r>
      <w:proofErr w:type="spellEnd"/>
      <w:r w:rsidRPr="000F4B53">
        <w:t xml:space="preserve"> собрали из баз данных </w:t>
      </w:r>
      <w:proofErr w:type="spellStart"/>
      <w:r w:rsidRPr="000F4B53">
        <w:t>Datastream</w:t>
      </w:r>
      <w:proofErr w:type="spellEnd"/>
      <w:r w:rsidRPr="000F4B53">
        <w:t xml:space="preserve"> и </w:t>
      </w:r>
      <w:proofErr w:type="spellStart"/>
      <w:r w:rsidRPr="000F4B53">
        <w:t>Worldscope</w:t>
      </w:r>
      <w:proofErr w:type="spellEnd"/>
      <w:r w:rsidRPr="000F4B53">
        <w:t xml:space="preserve"> ежедневные финансовые показатели каждой компании с момента вступления гендиректора в должность и до 30 апреля 2019 года.</w:t>
      </w:r>
      <w:proofErr w:type="gramEnd"/>
      <w:r w:rsidRPr="000F4B53">
        <w:t xml:space="preserve"> (Для </w:t>
      </w:r>
      <w:proofErr w:type="gramStart"/>
      <w:r w:rsidRPr="000F4B53">
        <w:t>занявших</w:t>
      </w:r>
      <w:proofErr w:type="gramEnd"/>
      <w:r w:rsidRPr="000F4B53">
        <w:t xml:space="preserve"> пост до 1995 года мы вели подсчеты с 1 января 1995-го: данные о прибыли с поправкой на отрасль до этого момента недоступны.) Затем мы выделили три параметра: совокупный доход акционеров с поправкой на страну (включая реинвестированные дивиденды), позволяющий исключить повышение прибыли за счет локального роста биржевых котировок; совокупный доход акционеров с поправкой на отрасль, чтобы исключить повышение прибыли из-за улучшения ситуации в индустрии; и изменение рыночной капитализации (с поправкой на дивиденды, на выпуск и обратный выкуп акций) в долларах США с учетом инфляции.</w:t>
      </w:r>
    </w:p>
    <w:p w:rsidR="000F4B53" w:rsidRPr="000F4B53" w:rsidRDefault="000F4B53" w:rsidP="000F4B53">
      <w:r w:rsidRPr="000F4B53">
        <w:t>Мы оценили гендиректоров по этим критериям, расположили их на шкале от 1 (лучший) до 883 (худший) и вывели средний показатель. Применение трех критериев кажется нам разумным: поправки на отрасль и на страну могли дать перекос в пользу небольших фирм (стартуя с низкой базы, проще получить крупную прибыль), а изменение рыночной капитализации — в сторону больших компаний.</w:t>
      </w:r>
    </w:p>
    <w:p w:rsidR="000F4B53" w:rsidRPr="000F4B53" w:rsidRDefault="000F4B53" w:rsidP="000F4B53">
      <w:proofErr w:type="gramStart"/>
      <w:r w:rsidRPr="000F4B53">
        <w:t xml:space="preserve">Чтобы оценить работу гендиректоров в нефинансовых сферах, HBR обратился за консультацией к </w:t>
      </w:r>
      <w:proofErr w:type="spellStart"/>
      <w:r w:rsidRPr="000F4B53">
        <w:t>Sustainalytics</w:t>
      </w:r>
      <w:proofErr w:type="spellEnd"/>
      <w:r w:rsidRPr="000F4B53">
        <w:t xml:space="preserve"> — фирме, специализирующейся на аналитических исследованиях в области экологической, социальной и корпоративной ответственности (ESG) и работающей в основном с финансовыми учреждениями и управляющими активами, и к </w:t>
      </w:r>
      <w:proofErr w:type="spellStart"/>
      <w:r w:rsidRPr="000F4B53">
        <w:t>CSRHub</w:t>
      </w:r>
      <w:proofErr w:type="spellEnd"/>
      <w:r w:rsidRPr="000F4B53">
        <w:t>, которая собирает и обобщает сведения по ESG из более чем 600 источников, включая восемь ведущих исследовательских фирм, и помогает бизнесу совершенствовать</w:t>
      </w:r>
      <w:proofErr w:type="gramEnd"/>
      <w:r w:rsidRPr="000F4B53">
        <w:t xml:space="preserve"> работу в этой сфере. Для каждой компании мы просчитали рейтинг ESG отдельно на основе данных </w:t>
      </w:r>
      <w:proofErr w:type="spellStart"/>
      <w:r w:rsidRPr="000F4B53">
        <w:t>Sustainalytics</w:t>
      </w:r>
      <w:proofErr w:type="spellEnd"/>
      <w:r w:rsidRPr="000F4B53">
        <w:t xml:space="preserve"> и отдельно — на основе данных </w:t>
      </w:r>
      <w:proofErr w:type="spellStart"/>
      <w:r w:rsidRPr="000F4B53">
        <w:t>CSRHub</w:t>
      </w:r>
      <w:proofErr w:type="spellEnd"/>
      <w:r w:rsidRPr="000F4B53">
        <w:t>. Выводя окончательную оценку, мы объединили показатели финансового рейтинга (его влияние на оценку — 70%) с показателями двух рейтингов ESG (по 15% каждый).</w:t>
      </w:r>
    </w:p>
    <w:p w:rsidR="000F4B53" w:rsidRPr="00AD2384" w:rsidRDefault="000F4B53" w:rsidP="000F4B53">
      <w:r w:rsidRPr="000F4B53">
        <w:t xml:space="preserve">Идея рейтинга самых эффективных гендиректоров принадлежит </w:t>
      </w:r>
      <w:proofErr w:type="spellStart"/>
      <w:r w:rsidRPr="000F4B53">
        <w:t>Мортену</w:t>
      </w:r>
      <w:proofErr w:type="spellEnd"/>
      <w:r w:rsidRPr="000F4B53">
        <w:t xml:space="preserve"> </w:t>
      </w:r>
      <w:proofErr w:type="spellStart"/>
      <w:r w:rsidRPr="000F4B53">
        <w:t>Хансену</w:t>
      </w:r>
      <w:proofErr w:type="spellEnd"/>
      <w:r w:rsidRPr="000F4B53">
        <w:t xml:space="preserve">, </w:t>
      </w:r>
      <w:proofErr w:type="spellStart"/>
      <w:r w:rsidRPr="000F4B53">
        <w:t>Эрминии</w:t>
      </w:r>
      <w:proofErr w:type="spellEnd"/>
      <w:r w:rsidRPr="000F4B53">
        <w:t xml:space="preserve"> </w:t>
      </w:r>
      <w:proofErr w:type="spellStart"/>
      <w:r w:rsidRPr="000F4B53">
        <w:t>Ибарре</w:t>
      </w:r>
      <w:proofErr w:type="spellEnd"/>
      <w:r w:rsidRPr="000F4B53">
        <w:t xml:space="preserve"> и </w:t>
      </w:r>
      <w:proofErr w:type="spellStart"/>
      <w:r w:rsidRPr="000F4B53">
        <w:t>Урсу</w:t>
      </w:r>
      <w:proofErr w:type="spellEnd"/>
      <w:r w:rsidRPr="000F4B53">
        <w:t xml:space="preserve"> </w:t>
      </w:r>
      <w:proofErr w:type="spellStart"/>
      <w:r w:rsidRPr="000F4B53">
        <w:t>Пейеру</w:t>
      </w:r>
      <w:proofErr w:type="spellEnd"/>
      <w:r w:rsidRPr="000F4B53">
        <w:t>. Рейтинги публиковались в HBR в 2010-м и 2013—2018 годах. Методика подсчета несколько раз менялась.</w:t>
      </w:r>
    </w:p>
    <w:p w:rsidR="00BD0EB0" w:rsidRPr="00BD0EB0" w:rsidRDefault="009D4DCE" w:rsidP="00BD0EB0">
      <w:pPr>
        <w:rPr>
          <w:rFonts w:ascii="Calibri" w:eastAsia="Calibri" w:hAnsi="Calibri" w:cs="Times New Roman"/>
          <w:b/>
          <w:sz w:val="32"/>
          <w:szCs w:val="32"/>
        </w:rPr>
      </w:pPr>
      <w:hyperlink r:id="rId21" w:history="1">
        <w:r w:rsidR="00BD0EB0" w:rsidRPr="00BD0EB0">
          <w:rPr>
            <w:rFonts w:ascii="Calibri" w:eastAsia="Calibri" w:hAnsi="Calibri" w:cs="Times New Roman"/>
            <w:b/>
            <w:color w:val="0563C1"/>
            <w:sz w:val="32"/>
            <w:szCs w:val="32"/>
            <w:u w:val="single"/>
          </w:rPr>
          <w:t>Вернуться в каталог сборников о лидерах и руководителях</w:t>
        </w:r>
      </w:hyperlink>
    </w:p>
    <w:p w:rsidR="00BD0EB0" w:rsidRPr="00BD0EB0" w:rsidRDefault="00A9231A" w:rsidP="00BD0EB0">
      <w:pPr>
        <w:rPr>
          <w:rFonts w:ascii="Calibri" w:eastAsia="Calibri" w:hAnsi="Calibri" w:cs="Times New Roman"/>
        </w:rPr>
      </w:pPr>
      <w:hyperlink r:id="rId22" w:history="1">
        <w:r w:rsidR="00BD0EB0" w:rsidRPr="00BD0EB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BD0EB0" w:rsidRPr="00BD0EB0">
          <w:rPr>
            <w:rFonts w:ascii="Calibri" w:eastAsia="Calibri" w:hAnsi="Calibri" w:cs="Times New Roman"/>
            <w:b/>
            <w:color w:val="0000FF"/>
            <w:sz w:val="32"/>
            <w:szCs w:val="32"/>
            <w:u w:val="single"/>
          </w:rPr>
          <w:t>лайн</w:t>
        </w:r>
        <w:proofErr w:type="spellEnd"/>
        <w:r w:rsidR="00BD0EB0" w:rsidRPr="00BD0EB0">
          <w:rPr>
            <w:rFonts w:ascii="Calibri" w:eastAsia="Calibri" w:hAnsi="Calibri" w:cs="Times New Roman"/>
            <w:b/>
            <w:color w:val="0000FF"/>
            <w:sz w:val="32"/>
            <w:szCs w:val="32"/>
            <w:u w:val="single"/>
          </w:rPr>
          <w:t>-консультации. Все отрасли знаний</w:t>
        </w:r>
      </w:hyperlink>
    </w:p>
    <w:p w:rsidR="00AD2384" w:rsidRPr="00DB7291" w:rsidRDefault="00AD2384" w:rsidP="00AD2384">
      <w:pPr>
        <w:jc w:val="center"/>
      </w:pPr>
    </w:p>
    <w:tbl>
      <w:tblPr>
        <w:tblStyle w:val="a9"/>
        <w:tblW w:w="0" w:type="auto"/>
        <w:tblLook w:val="04A0" w:firstRow="1" w:lastRow="0" w:firstColumn="1" w:lastColumn="0" w:noHBand="0" w:noVBand="1"/>
      </w:tblPr>
      <w:tblGrid>
        <w:gridCol w:w="2987"/>
        <w:gridCol w:w="6584"/>
      </w:tblGrid>
      <w:tr w:rsidR="00AD2384" w:rsidRPr="00DB7291" w:rsidTr="00626F81">
        <w:tc>
          <w:tcPr>
            <w:tcW w:w="3227" w:type="dxa"/>
          </w:tcPr>
          <w:p w:rsidR="00AD2384" w:rsidRDefault="00AD2384" w:rsidP="00626F81">
            <w:pPr>
              <w:spacing w:line="480" w:lineRule="auto"/>
              <w:jc w:val="center"/>
            </w:pPr>
          </w:p>
          <w:p w:rsidR="00AD2384" w:rsidRPr="00DB7291" w:rsidRDefault="00A9231A" w:rsidP="00626F81">
            <w:pPr>
              <w:spacing w:line="480" w:lineRule="auto"/>
              <w:jc w:val="center"/>
              <w:rPr>
                <w:lang w:val="en-US"/>
              </w:rPr>
            </w:pPr>
            <w:hyperlink r:id="rId23" w:history="1">
              <w:r w:rsidR="00AD2384" w:rsidRPr="00DB7291">
                <w:rPr>
                  <w:rFonts w:ascii="Arial Black" w:hAnsi="Arial Black"/>
                  <w:b/>
                  <w:color w:val="0000FF" w:themeColor="hyperlink"/>
                  <w:sz w:val="28"/>
                  <w:szCs w:val="28"/>
                  <w:u w:val="single"/>
                  <w:lang w:val="en-US"/>
                </w:rPr>
                <w:t>КНИЖНЫЙ  МАГАЗИН</w:t>
              </w:r>
            </w:hyperlink>
          </w:p>
        </w:tc>
        <w:tc>
          <w:tcPr>
            <w:tcW w:w="6678" w:type="dxa"/>
          </w:tcPr>
          <w:p w:rsidR="00AD2384" w:rsidRPr="00DB7291" w:rsidRDefault="00AD2384" w:rsidP="00626F81">
            <w:pPr>
              <w:spacing w:line="480" w:lineRule="auto"/>
              <w:jc w:val="center"/>
              <w:rPr>
                <w:lang w:val="en-US"/>
              </w:rPr>
            </w:pPr>
            <w:r w:rsidRPr="00DB7291">
              <w:rPr>
                <w:noProof/>
              </w:rPr>
              <w:drawing>
                <wp:inline distT="0" distB="0" distL="0" distR="0" wp14:anchorId="657E853A" wp14:editId="41C9F649">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D2384" w:rsidRPr="00DB7291" w:rsidRDefault="00AD2384" w:rsidP="00AD2384">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734"/>
        <w:gridCol w:w="4837"/>
      </w:tblGrid>
      <w:tr w:rsidR="00AD2384" w:rsidRPr="00DB7291" w:rsidTr="00626F81">
        <w:tc>
          <w:tcPr>
            <w:tcW w:w="4952" w:type="dxa"/>
          </w:tcPr>
          <w:p w:rsidR="00AD2384" w:rsidRDefault="00AD2384" w:rsidP="00626F81">
            <w:pPr>
              <w:spacing w:line="480" w:lineRule="auto"/>
              <w:jc w:val="center"/>
            </w:pPr>
          </w:p>
          <w:p w:rsidR="00AD2384" w:rsidRPr="00DB7291" w:rsidRDefault="00A9231A" w:rsidP="00626F81">
            <w:pPr>
              <w:spacing w:line="480" w:lineRule="auto"/>
              <w:jc w:val="center"/>
            </w:pPr>
            <w:hyperlink r:id="rId25" w:history="1">
              <w:r w:rsidR="00AD2384"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D2384" w:rsidRPr="00DB7291" w:rsidRDefault="00AD2384" w:rsidP="00626F81">
            <w:pPr>
              <w:spacing w:line="480" w:lineRule="auto"/>
              <w:jc w:val="center"/>
            </w:pPr>
            <w:r w:rsidRPr="00DB7291">
              <w:rPr>
                <w:noProof/>
              </w:rPr>
              <w:drawing>
                <wp:inline distT="0" distB="0" distL="0" distR="0" wp14:anchorId="7BFA1DCA" wp14:editId="4555D554">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D2384" w:rsidRPr="005415BC" w:rsidRDefault="00AD2384" w:rsidP="00AD2384">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AD2384" w:rsidRPr="00DB7291" w:rsidTr="00626F81">
        <w:trPr>
          <w:jc w:val="center"/>
        </w:trPr>
        <w:tc>
          <w:tcPr>
            <w:tcW w:w="3594" w:type="dxa"/>
          </w:tcPr>
          <w:p w:rsidR="00AD2384" w:rsidRDefault="00AD2384" w:rsidP="00626F81">
            <w:pPr>
              <w:spacing w:line="480" w:lineRule="auto"/>
              <w:jc w:val="center"/>
            </w:pPr>
          </w:p>
          <w:p w:rsidR="00AD2384" w:rsidRPr="00DB7291" w:rsidRDefault="00A9231A" w:rsidP="00626F81">
            <w:pPr>
              <w:spacing w:line="480" w:lineRule="auto"/>
              <w:jc w:val="center"/>
              <w:rPr>
                <w:rFonts w:ascii="Arial Black" w:hAnsi="Arial Black" w:cs="Arial"/>
                <w:b/>
                <w:sz w:val="28"/>
                <w:szCs w:val="28"/>
              </w:rPr>
            </w:pPr>
            <w:hyperlink r:id="rId27" w:history="1">
              <w:r w:rsidR="00AD2384" w:rsidRPr="00DB7291">
                <w:rPr>
                  <w:rFonts w:ascii="Arial Black" w:hAnsi="Arial Black"/>
                  <w:b/>
                  <w:color w:val="0000FF" w:themeColor="hyperlink"/>
                  <w:sz w:val="28"/>
                  <w:szCs w:val="28"/>
                  <w:u w:val="single"/>
                </w:rPr>
                <w:t>АУДИОЛЕКЦИИ</w:t>
              </w:r>
            </w:hyperlink>
          </w:p>
        </w:tc>
        <w:tc>
          <w:tcPr>
            <w:tcW w:w="3402" w:type="dxa"/>
          </w:tcPr>
          <w:p w:rsidR="00AD2384" w:rsidRPr="00DB7291" w:rsidRDefault="00AD2384" w:rsidP="00626F81">
            <w:pPr>
              <w:spacing w:line="480" w:lineRule="auto"/>
              <w:jc w:val="center"/>
              <w:rPr>
                <w:rFonts w:ascii="Arial Black" w:hAnsi="Arial Black" w:cs="Arial"/>
                <w:b/>
                <w:sz w:val="28"/>
                <w:szCs w:val="28"/>
              </w:rPr>
            </w:pPr>
            <w:r w:rsidRPr="00DB7291">
              <w:rPr>
                <w:noProof/>
              </w:rPr>
              <w:drawing>
                <wp:inline distT="0" distB="0" distL="0" distR="0" wp14:anchorId="08E5D69A" wp14:editId="746698AD">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D2384" w:rsidRPr="005415BC" w:rsidRDefault="00AD2384" w:rsidP="00AD2384">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368"/>
        <w:gridCol w:w="6203"/>
      </w:tblGrid>
      <w:tr w:rsidR="00AD2384" w:rsidRPr="00DB7291" w:rsidTr="00626F81">
        <w:tc>
          <w:tcPr>
            <w:tcW w:w="3652" w:type="dxa"/>
          </w:tcPr>
          <w:p w:rsidR="00AD2384" w:rsidRDefault="00AD2384" w:rsidP="00626F81">
            <w:pPr>
              <w:spacing w:line="480" w:lineRule="auto"/>
              <w:jc w:val="center"/>
            </w:pPr>
          </w:p>
          <w:p w:rsidR="00AD2384" w:rsidRPr="00DB7291" w:rsidRDefault="00A9231A" w:rsidP="00626F81">
            <w:pPr>
              <w:spacing w:line="480" w:lineRule="auto"/>
              <w:jc w:val="center"/>
              <w:rPr>
                <w:lang w:val="en-US"/>
              </w:rPr>
            </w:pPr>
            <w:hyperlink r:id="rId29" w:history="1">
              <w:r w:rsidR="00AD2384" w:rsidRPr="00DB7291">
                <w:rPr>
                  <w:rFonts w:ascii="Arial Black" w:hAnsi="Arial Black" w:cs="Arial"/>
                  <w:b/>
                  <w:color w:val="0000FF" w:themeColor="hyperlink"/>
                  <w:sz w:val="28"/>
                  <w:szCs w:val="28"/>
                  <w:u w:val="single"/>
                  <w:lang w:val="en-US"/>
                </w:rPr>
                <w:t>IT-</w:t>
              </w:r>
              <w:proofErr w:type="spellStart"/>
              <w:r w:rsidR="00AD2384" w:rsidRPr="00DB7291">
                <w:rPr>
                  <w:rFonts w:ascii="Arial Black" w:hAnsi="Arial Black" w:cs="Arial"/>
                  <w:b/>
                  <w:color w:val="0000FF" w:themeColor="hyperlink"/>
                  <w:sz w:val="28"/>
                  <w:szCs w:val="28"/>
                  <w:u w:val="single"/>
                  <w:lang w:val="en-US"/>
                </w:rPr>
                <w:t>специалисты</w:t>
              </w:r>
              <w:proofErr w:type="spellEnd"/>
              <w:r w:rsidR="00AD2384"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D2384" w:rsidRPr="00DB7291" w:rsidRDefault="00AD2384" w:rsidP="00626F81">
            <w:pPr>
              <w:spacing w:line="480" w:lineRule="auto"/>
              <w:jc w:val="center"/>
              <w:rPr>
                <w:lang w:val="en-US"/>
              </w:rPr>
            </w:pPr>
            <w:r w:rsidRPr="00DB7291">
              <w:rPr>
                <w:noProof/>
              </w:rPr>
              <w:drawing>
                <wp:inline distT="0" distB="0" distL="0" distR="0" wp14:anchorId="1EFC10AC" wp14:editId="471858A5">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D2384" w:rsidRDefault="00AD2384" w:rsidP="00AD2384">
      <w:pPr>
        <w:rPr>
          <w:sz w:val="16"/>
          <w:szCs w:val="16"/>
        </w:rPr>
      </w:pPr>
    </w:p>
    <w:tbl>
      <w:tblPr>
        <w:tblStyle w:val="2"/>
        <w:tblW w:w="0" w:type="auto"/>
        <w:tblLook w:val="04A0" w:firstRow="1" w:lastRow="0" w:firstColumn="1" w:lastColumn="0" w:noHBand="0" w:noVBand="1"/>
      </w:tblPr>
      <w:tblGrid>
        <w:gridCol w:w="3722"/>
        <w:gridCol w:w="5849"/>
      </w:tblGrid>
      <w:tr w:rsidR="00AD2384" w:rsidRPr="001302EE" w:rsidTr="00626F81">
        <w:tc>
          <w:tcPr>
            <w:tcW w:w="3936" w:type="dxa"/>
          </w:tcPr>
          <w:p w:rsidR="00AD2384" w:rsidRPr="001302EE" w:rsidRDefault="00AD2384" w:rsidP="00626F81">
            <w:pPr>
              <w:jc w:val="center"/>
              <w:rPr>
                <w:rFonts w:ascii="Times New Roman CYR" w:eastAsia="Calibri" w:hAnsi="Times New Roman CYR" w:cs="Times New Roman CYR"/>
                <w:sz w:val="24"/>
                <w:szCs w:val="24"/>
              </w:rPr>
            </w:pPr>
          </w:p>
          <w:p w:rsidR="00AD2384" w:rsidRPr="001302EE" w:rsidRDefault="00A9231A" w:rsidP="00626F81">
            <w:pPr>
              <w:jc w:val="center"/>
              <w:rPr>
                <w:rFonts w:ascii="Calibri" w:eastAsia="Calibri" w:hAnsi="Calibri" w:cs="Times New Roman"/>
              </w:rPr>
            </w:pPr>
            <w:hyperlink r:id="rId31" w:history="1">
              <w:r w:rsidR="00AD2384" w:rsidRPr="001302EE">
                <w:rPr>
                  <w:rFonts w:ascii="Arial Black" w:eastAsia="Calibri" w:hAnsi="Arial Black" w:cs="Times New Roman"/>
                  <w:b/>
                  <w:color w:val="0000FF"/>
                  <w:sz w:val="28"/>
                  <w:szCs w:val="28"/>
                  <w:u w:val="single"/>
                  <w:lang w:val="en-US"/>
                </w:rPr>
                <w:t xml:space="preserve">ФИТНЕС </w:t>
              </w:r>
              <w:proofErr w:type="spellStart"/>
              <w:r w:rsidR="00AD2384" w:rsidRPr="001302EE">
                <w:rPr>
                  <w:rFonts w:ascii="Arial Black" w:eastAsia="Calibri" w:hAnsi="Arial Black" w:cs="Times New Roman"/>
                  <w:b/>
                  <w:color w:val="0000FF"/>
                  <w:sz w:val="28"/>
                  <w:szCs w:val="28"/>
                  <w:u w:val="single"/>
                  <w:lang w:val="en-US"/>
                </w:rPr>
                <w:t>на</w:t>
              </w:r>
              <w:proofErr w:type="spellEnd"/>
              <w:r w:rsidR="00AD2384"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D2384" w:rsidRPr="001302EE" w:rsidRDefault="00AD238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C0D9AB2" wp14:editId="00F44F99">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D2384" w:rsidRDefault="00AD2384" w:rsidP="00AD2384">
      <w:pPr>
        <w:rPr>
          <w:sz w:val="16"/>
          <w:szCs w:val="16"/>
        </w:rPr>
      </w:pPr>
    </w:p>
    <w:p w:rsidR="00BD0EB0" w:rsidRPr="00BD0EB0" w:rsidRDefault="00BD0EB0" w:rsidP="000F4B53">
      <w:pPr>
        <w:rPr>
          <w:lang w:val="en-US"/>
        </w:rPr>
      </w:pPr>
    </w:p>
    <w:sectPr w:rsidR="00BD0EB0" w:rsidRPr="00BD0EB0">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31A" w:rsidRDefault="00A9231A" w:rsidP="00F91737">
      <w:pPr>
        <w:spacing w:after="0" w:line="240" w:lineRule="auto"/>
      </w:pPr>
      <w:r>
        <w:separator/>
      </w:r>
    </w:p>
  </w:endnote>
  <w:endnote w:type="continuationSeparator" w:id="0">
    <w:p w:rsidR="00A9231A" w:rsidRDefault="00A9231A" w:rsidP="00F91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37" w:rsidRDefault="00F9173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06D" w:rsidRPr="007D406D" w:rsidRDefault="007D406D" w:rsidP="007D406D">
    <w:pPr>
      <w:tabs>
        <w:tab w:val="center" w:pos="4677"/>
        <w:tab w:val="right" w:pos="9355"/>
      </w:tabs>
      <w:spacing w:after="0" w:line="240" w:lineRule="auto"/>
      <w:rPr>
        <w:rFonts w:ascii="Arial" w:eastAsia="Times New Roman" w:hAnsi="Arial" w:cs="Arial"/>
        <w:color w:val="000000"/>
        <w:sz w:val="24"/>
        <w:szCs w:val="24"/>
        <w:lang w:eastAsia="ru-RU"/>
      </w:rPr>
    </w:pPr>
    <w:r w:rsidRPr="007D406D">
      <w:rPr>
        <w:rFonts w:ascii="Arial" w:eastAsia="Times New Roman" w:hAnsi="Arial" w:cs="Arial"/>
        <w:color w:val="000000"/>
        <w:sz w:val="24"/>
        <w:szCs w:val="24"/>
        <w:lang w:eastAsia="ru-RU"/>
      </w:rPr>
      <w:t>Вернуться в каталог статей "Искусство руководить людьми"</w:t>
    </w:r>
  </w:p>
  <w:p w:rsidR="00F91737" w:rsidRDefault="007D406D" w:rsidP="007D406D">
    <w:pPr>
      <w:pStyle w:val="a7"/>
    </w:pPr>
    <w:hyperlink r:id="rId1" w:history="1">
      <w:r w:rsidRPr="007D406D">
        <w:rPr>
          <w:rFonts w:ascii="Arial" w:eastAsia="Times New Roman" w:hAnsi="Arial" w:cs="Arial"/>
          <w:color w:val="0000FF"/>
          <w:sz w:val="24"/>
          <w:szCs w:val="24"/>
          <w:u w:val="single"/>
          <w:lang w:eastAsia="ru-RU"/>
        </w:rPr>
        <w:t>http://учебники.информ2000.рф/ruk</w:t>
      </w:r>
      <w:r w:rsidRPr="007D406D">
        <w:rPr>
          <w:rFonts w:ascii="Arial" w:eastAsia="Times New Roman" w:hAnsi="Arial" w:cs="Arial"/>
          <w:color w:val="0000FF"/>
          <w:sz w:val="24"/>
          <w:szCs w:val="24"/>
          <w:u w:val="single"/>
          <w:lang w:eastAsia="ru-RU"/>
        </w:rPr>
        <w:t>o</w:t>
      </w:r>
      <w:r w:rsidRPr="007D406D">
        <w:rPr>
          <w:rFonts w:ascii="Arial" w:eastAsia="Times New Roman" w:hAnsi="Arial" w:cs="Arial"/>
          <w:color w:val="0000FF"/>
          <w:sz w:val="24"/>
          <w:szCs w:val="24"/>
          <w:u w:val="single"/>
          <w:lang w:eastAsia="ru-RU"/>
        </w:rPr>
        <w:t>voditel2/rukovoditel3.shtml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37" w:rsidRDefault="00F9173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31A" w:rsidRDefault="00A9231A" w:rsidP="00F91737">
      <w:pPr>
        <w:spacing w:after="0" w:line="240" w:lineRule="auto"/>
      </w:pPr>
      <w:r>
        <w:separator/>
      </w:r>
    </w:p>
  </w:footnote>
  <w:footnote w:type="continuationSeparator" w:id="0">
    <w:p w:rsidR="00A9231A" w:rsidRDefault="00A9231A" w:rsidP="00F917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37" w:rsidRDefault="00F9173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06D" w:rsidRPr="007D406D" w:rsidRDefault="007D406D" w:rsidP="007D406D">
    <w:pPr>
      <w:pStyle w:val="a5"/>
      <w:rPr>
        <w:rFonts w:ascii="Arial" w:eastAsia="Times New Roman" w:hAnsi="Arial" w:cs="Arial"/>
        <w:color w:val="000000"/>
        <w:sz w:val="24"/>
        <w:szCs w:val="24"/>
        <w:lang w:eastAsia="ru-RU"/>
      </w:rPr>
    </w:pPr>
    <w:r w:rsidRPr="007D406D">
      <w:rPr>
        <w:rFonts w:ascii="Arial" w:eastAsia="Times New Roman" w:hAnsi="Arial" w:cs="Arial"/>
        <w:color w:val="000000"/>
        <w:sz w:val="24"/>
        <w:szCs w:val="24"/>
        <w:lang w:eastAsia="ru-RU"/>
      </w:rPr>
      <w:t xml:space="preserve"> </w:t>
    </w:r>
    <w:r w:rsidRPr="007D406D">
      <w:rPr>
        <w:rFonts w:ascii="Arial" w:eastAsia="Times New Roman" w:hAnsi="Arial" w:cs="Arial"/>
        <w:color w:val="000000"/>
        <w:sz w:val="24"/>
        <w:szCs w:val="24"/>
        <w:lang w:eastAsia="ru-RU"/>
      </w:rPr>
      <w:t>Узнайте стоимость написания на заказ студенческих и аспирантских работ</w:t>
    </w:r>
  </w:p>
  <w:p w:rsidR="00F91737" w:rsidRDefault="007D406D" w:rsidP="007D406D">
    <w:pPr>
      <w:pStyle w:val="a5"/>
      <w:jc w:val="center"/>
    </w:pPr>
    <w:hyperlink r:id="rId1" w:history="1">
      <w:r w:rsidRPr="007D406D">
        <w:rPr>
          <w:rFonts w:ascii="Arial" w:eastAsia="Times New Roman" w:hAnsi="Arial" w:cs="Arial"/>
          <w:color w:val="0000FF"/>
          <w:sz w:val="24"/>
          <w:szCs w:val="24"/>
          <w:u w:val="single"/>
          <w:lang w:eastAsia="ru-RU"/>
        </w:rPr>
        <w:t>http://учебники.информ2000.рф/napisat-diplom.shtml</w:t>
      </w:r>
    </w:hyperlink>
    <w:bookmarkStart w:id="0" w:name="_GoBack"/>
    <w:bookmarkEnd w:id="0"/>
  </w:p>
  <w:p w:rsidR="00F91737" w:rsidRDefault="00F9173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37" w:rsidRDefault="00F9173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B53"/>
    <w:rsid w:val="0007679B"/>
    <w:rsid w:val="000F4B53"/>
    <w:rsid w:val="00124D34"/>
    <w:rsid w:val="00200BE9"/>
    <w:rsid w:val="00351401"/>
    <w:rsid w:val="00545EE9"/>
    <w:rsid w:val="007D406D"/>
    <w:rsid w:val="009D4DCE"/>
    <w:rsid w:val="00A42522"/>
    <w:rsid w:val="00A9231A"/>
    <w:rsid w:val="00AC252F"/>
    <w:rsid w:val="00AD2384"/>
    <w:rsid w:val="00BD0EB0"/>
    <w:rsid w:val="00D47DAF"/>
    <w:rsid w:val="00EB2867"/>
    <w:rsid w:val="00F91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0F4B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4B53"/>
    <w:rPr>
      <w:rFonts w:ascii="Tahoma" w:hAnsi="Tahoma" w:cs="Tahoma"/>
      <w:sz w:val="16"/>
      <w:szCs w:val="16"/>
    </w:rPr>
  </w:style>
  <w:style w:type="paragraph" w:styleId="a5">
    <w:name w:val="header"/>
    <w:basedOn w:val="a"/>
    <w:link w:val="a6"/>
    <w:uiPriority w:val="99"/>
    <w:unhideWhenUsed/>
    <w:rsid w:val="00F917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1737"/>
  </w:style>
  <w:style w:type="paragraph" w:styleId="a7">
    <w:name w:val="footer"/>
    <w:basedOn w:val="a"/>
    <w:link w:val="a8"/>
    <w:uiPriority w:val="99"/>
    <w:unhideWhenUsed/>
    <w:rsid w:val="00F917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1737"/>
  </w:style>
  <w:style w:type="table" w:styleId="a9">
    <w:name w:val="Table Grid"/>
    <w:basedOn w:val="a1"/>
    <w:uiPriority w:val="59"/>
    <w:rsid w:val="00AD238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D238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7D40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0F4B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4B53"/>
    <w:rPr>
      <w:rFonts w:ascii="Tahoma" w:hAnsi="Tahoma" w:cs="Tahoma"/>
      <w:sz w:val="16"/>
      <w:szCs w:val="16"/>
    </w:rPr>
  </w:style>
  <w:style w:type="paragraph" w:styleId="a5">
    <w:name w:val="header"/>
    <w:basedOn w:val="a"/>
    <w:link w:val="a6"/>
    <w:uiPriority w:val="99"/>
    <w:unhideWhenUsed/>
    <w:rsid w:val="00F917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1737"/>
  </w:style>
  <w:style w:type="paragraph" w:styleId="a7">
    <w:name w:val="footer"/>
    <w:basedOn w:val="a"/>
    <w:link w:val="a8"/>
    <w:uiPriority w:val="99"/>
    <w:unhideWhenUsed/>
    <w:rsid w:val="00F917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1737"/>
  </w:style>
  <w:style w:type="table" w:styleId="a9">
    <w:name w:val="Table Grid"/>
    <w:basedOn w:val="a1"/>
    <w:uiPriority w:val="59"/>
    <w:rsid w:val="00AD238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D238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7D40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762037">
      <w:bodyDiv w:val="1"/>
      <w:marLeft w:val="0"/>
      <w:marRight w:val="0"/>
      <w:marTop w:val="0"/>
      <w:marBottom w:val="0"/>
      <w:divBdr>
        <w:top w:val="none" w:sz="0" w:space="0" w:color="auto"/>
        <w:left w:val="none" w:sz="0" w:space="0" w:color="auto"/>
        <w:bottom w:val="none" w:sz="0" w:space="0" w:color="auto"/>
        <w:right w:val="none" w:sz="0" w:space="0" w:color="auto"/>
      </w:divBdr>
    </w:div>
    <w:div w:id="1729723802">
      <w:bodyDiv w:val="1"/>
      <w:marLeft w:val="0"/>
      <w:marRight w:val="0"/>
      <w:marTop w:val="0"/>
      <w:marBottom w:val="0"/>
      <w:divBdr>
        <w:top w:val="none" w:sz="0" w:space="0" w:color="auto"/>
        <w:left w:val="none" w:sz="0" w:space="0" w:color="auto"/>
        <w:bottom w:val="none" w:sz="0" w:space="0" w:color="auto"/>
        <w:right w:val="none" w:sz="0" w:space="0" w:color="auto"/>
      </w:divBdr>
    </w:div>
    <w:div w:id="1796633062">
      <w:bodyDiv w:val="1"/>
      <w:marLeft w:val="0"/>
      <w:marRight w:val="0"/>
      <w:marTop w:val="0"/>
      <w:marBottom w:val="0"/>
      <w:divBdr>
        <w:top w:val="none" w:sz="0" w:space="0" w:color="auto"/>
        <w:left w:val="none" w:sz="0" w:space="0" w:color="auto"/>
        <w:bottom w:val="none" w:sz="0" w:space="0" w:color="auto"/>
        <w:right w:val="none" w:sz="0" w:space="0" w:color="auto"/>
      </w:divBdr>
      <w:divsChild>
        <w:div w:id="1588541512">
          <w:marLeft w:val="0"/>
          <w:marRight w:val="0"/>
          <w:marTop w:val="0"/>
          <w:marBottom w:val="0"/>
          <w:divBdr>
            <w:top w:val="none" w:sz="0" w:space="0" w:color="auto"/>
            <w:left w:val="none" w:sz="0" w:space="0" w:color="auto"/>
            <w:bottom w:val="none" w:sz="0" w:space="0" w:color="auto"/>
            <w:right w:val="none" w:sz="0" w:space="0" w:color="auto"/>
          </w:divBdr>
          <w:divsChild>
            <w:div w:id="2049446449">
              <w:marLeft w:val="0"/>
              <w:marRight w:val="0"/>
              <w:marTop w:val="225"/>
              <w:marBottom w:val="225"/>
              <w:divBdr>
                <w:top w:val="none" w:sz="0" w:space="0" w:color="auto"/>
                <w:left w:val="none" w:sz="0" w:space="0" w:color="auto"/>
                <w:bottom w:val="none" w:sz="0" w:space="0" w:color="auto"/>
                <w:right w:val="none" w:sz="0" w:space="0" w:color="auto"/>
              </w:divBdr>
            </w:div>
          </w:divsChild>
        </w:div>
        <w:div w:id="965087750">
          <w:marLeft w:val="0"/>
          <w:marRight w:val="0"/>
          <w:marTop w:val="0"/>
          <w:marBottom w:val="0"/>
          <w:divBdr>
            <w:top w:val="none" w:sz="0" w:space="0" w:color="auto"/>
            <w:left w:val="none" w:sz="0" w:space="0" w:color="auto"/>
            <w:bottom w:val="none" w:sz="0" w:space="0" w:color="auto"/>
            <w:right w:val="none" w:sz="0" w:space="0" w:color="auto"/>
          </w:divBdr>
          <w:divsChild>
            <w:div w:id="1219591931">
              <w:marLeft w:val="0"/>
              <w:marRight w:val="0"/>
              <w:marTop w:val="0"/>
              <w:marBottom w:val="450"/>
              <w:divBdr>
                <w:top w:val="none" w:sz="0" w:space="0" w:color="auto"/>
                <w:left w:val="none" w:sz="0" w:space="0" w:color="auto"/>
                <w:bottom w:val="none" w:sz="0" w:space="0" w:color="auto"/>
                <w:right w:val="none" w:sz="0" w:space="0" w:color="auto"/>
              </w:divBdr>
              <w:divsChild>
                <w:div w:id="1429621370">
                  <w:marLeft w:val="0"/>
                  <w:marRight w:val="0"/>
                  <w:marTop w:val="0"/>
                  <w:marBottom w:val="0"/>
                  <w:divBdr>
                    <w:top w:val="none" w:sz="0" w:space="0" w:color="auto"/>
                    <w:left w:val="none" w:sz="0" w:space="0" w:color="auto"/>
                    <w:bottom w:val="none" w:sz="0" w:space="0" w:color="auto"/>
                    <w:right w:val="none" w:sz="0" w:space="0" w:color="auto"/>
                  </w:divBdr>
                  <w:divsChild>
                    <w:div w:id="1569874913">
                      <w:marLeft w:val="0"/>
                      <w:marRight w:val="0"/>
                      <w:marTop w:val="0"/>
                      <w:marBottom w:val="0"/>
                      <w:divBdr>
                        <w:top w:val="none" w:sz="0" w:space="0" w:color="auto"/>
                        <w:left w:val="none" w:sz="0" w:space="0" w:color="auto"/>
                        <w:bottom w:val="none" w:sz="0" w:space="0" w:color="auto"/>
                        <w:right w:val="none" w:sz="0" w:space="0" w:color="auto"/>
                      </w:divBdr>
                      <w:divsChild>
                        <w:div w:id="11559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46504">
              <w:marLeft w:val="0"/>
              <w:marRight w:val="0"/>
              <w:marTop w:val="0"/>
              <w:marBottom w:val="450"/>
              <w:divBdr>
                <w:top w:val="none" w:sz="0" w:space="0" w:color="auto"/>
                <w:left w:val="none" w:sz="0" w:space="0" w:color="auto"/>
                <w:bottom w:val="none" w:sz="0" w:space="0" w:color="auto"/>
                <w:right w:val="none" w:sz="0" w:space="0" w:color="auto"/>
              </w:divBdr>
              <w:divsChild>
                <w:div w:id="371077688">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sChild>
                        <w:div w:id="35908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8418">
              <w:marLeft w:val="0"/>
              <w:marRight w:val="0"/>
              <w:marTop w:val="0"/>
              <w:marBottom w:val="450"/>
              <w:divBdr>
                <w:top w:val="none" w:sz="0" w:space="0" w:color="auto"/>
                <w:left w:val="none" w:sz="0" w:space="0" w:color="auto"/>
                <w:bottom w:val="none" w:sz="0" w:space="0" w:color="auto"/>
                <w:right w:val="none" w:sz="0" w:space="0" w:color="auto"/>
              </w:divBdr>
              <w:divsChild>
                <w:div w:id="1316763156">
                  <w:marLeft w:val="0"/>
                  <w:marRight w:val="0"/>
                  <w:marTop w:val="0"/>
                  <w:marBottom w:val="0"/>
                  <w:divBdr>
                    <w:top w:val="none" w:sz="0" w:space="0" w:color="auto"/>
                    <w:left w:val="none" w:sz="0" w:space="0" w:color="auto"/>
                    <w:bottom w:val="none" w:sz="0" w:space="0" w:color="auto"/>
                    <w:right w:val="none" w:sz="0" w:space="0" w:color="auto"/>
                  </w:divBdr>
                  <w:divsChild>
                    <w:div w:id="1867282095">
                      <w:marLeft w:val="0"/>
                      <w:marRight w:val="0"/>
                      <w:marTop w:val="0"/>
                      <w:marBottom w:val="0"/>
                      <w:divBdr>
                        <w:top w:val="none" w:sz="0" w:space="0" w:color="auto"/>
                        <w:left w:val="none" w:sz="0" w:space="0" w:color="auto"/>
                        <w:bottom w:val="none" w:sz="0" w:space="0" w:color="auto"/>
                        <w:right w:val="none" w:sz="0" w:space="0" w:color="auto"/>
                      </w:divBdr>
                      <w:divsChild>
                        <w:div w:id="212384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5837">
              <w:marLeft w:val="0"/>
              <w:marRight w:val="0"/>
              <w:marTop w:val="0"/>
              <w:marBottom w:val="450"/>
              <w:divBdr>
                <w:top w:val="none" w:sz="0" w:space="0" w:color="auto"/>
                <w:left w:val="none" w:sz="0" w:space="0" w:color="auto"/>
                <w:bottom w:val="none" w:sz="0" w:space="0" w:color="auto"/>
                <w:right w:val="none" w:sz="0" w:space="0" w:color="auto"/>
              </w:divBdr>
              <w:divsChild>
                <w:div w:id="1574395375">
                  <w:marLeft w:val="0"/>
                  <w:marRight w:val="0"/>
                  <w:marTop w:val="0"/>
                  <w:marBottom w:val="0"/>
                  <w:divBdr>
                    <w:top w:val="none" w:sz="0" w:space="0" w:color="auto"/>
                    <w:left w:val="none" w:sz="0" w:space="0" w:color="auto"/>
                    <w:bottom w:val="none" w:sz="0" w:space="0" w:color="auto"/>
                    <w:right w:val="none" w:sz="0" w:space="0" w:color="auto"/>
                  </w:divBdr>
                  <w:divsChild>
                    <w:div w:id="2145190951">
                      <w:marLeft w:val="0"/>
                      <w:marRight w:val="0"/>
                      <w:marTop w:val="0"/>
                      <w:marBottom w:val="0"/>
                      <w:divBdr>
                        <w:top w:val="none" w:sz="0" w:space="0" w:color="auto"/>
                        <w:left w:val="none" w:sz="0" w:space="0" w:color="auto"/>
                        <w:bottom w:val="none" w:sz="0" w:space="0" w:color="auto"/>
                        <w:right w:val="none" w:sz="0" w:space="0" w:color="auto"/>
                      </w:divBdr>
                      <w:divsChild>
                        <w:div w:id="1517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00827">
              <w:marLeft w:val="0"/>
              <w:marRight w:val="0"/>
              <w:marTop w:val="0"/>
              <w:marBottom w:val="450"/>
              <w:divBdr>
                <w:top w:val="none" w:sz="0" w:space="0" w:color="auto"/>
                <w:left w:val="none" w:sz="0" w:space="0" w:color="auto"/>
                <w:bottom w:val="none" w:sz="0" w:space="0" w:color="auto"/>
                <w:right w:val="none" w:sz="0" w:space="0" w:color="auto"/>
              </w:divBdr>
              <w:divsChild>
                <w:div w:id="751506669">
                  <w:marLeft w:val="0"/>
                  <w:marRight w:val="0"/>
                  <w:marTop w:val="0"/>
                  <w:marBottom w:val="0"/>
                  <w:divBdr>
                    <w:top w:val="none" w:sz="0" w:space="0" w:color="auto"/>
                    <w:left w:val="none" w:sz="0" w:space="0" w:color="auto"/>
                    <w:bottom w:val="none" w:sz="0" w:space="0" w:color="auto"/>
                    <w:right w:val="none" w:sz="0" w:space="0" w:color="auto"/>
                  </w:divBdr>
                  <w:divsChild>
                    <w:div w:id="1145970101">
                      <w:marLeft w:val="0"/>
                      <w:marRight w:val="0"/>
                      <w:marTop w:val="0"/>
                      <w:marBottom w:val="0"/>
                      <w:divBdr>
                        <w:top w:val="none" w:sz="0" w:space="0" w:color="auto"/>
                        <w:left w:val="none" w:sz="0" w:space="0" w:color="auto"/>
                        <w:bottom w:val="none" w:sz="0" w:space="0" w:color="auto"/>
                        <w:right w:val="none" w:sz="0" w:space="0" w:color="auto"/>
                      </w:divBdr>
                      <w:divsChild>
                        <w:div w:id="17196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90547">
              <w:marLeft w:val="0"/>
              <w:marRight w:val="0"/>
              <w:marTop w:val="0"/>
              <w:marBottom w:val="450"/>
              <w:divBdr>
                <w:top w:val="none" w:sz="0" w:space="0" w:color="auto"/>
                <w:left w:val="none" w:sz="0" w:space="0" w:color="auto"/>
                <w:bottom w:val="none" w:sz="0" w:space="0" w:color="auto"/>
                <w:right w:val="none" w:sz="0" w:space="0" w:color="auto"/>
              </w:divBdr>
              <w:divsChild>
                <w:div w:id="1466045248">
                  <w:marLeft w:val="0"/>
                  <w:marRight w:val="0"/>
                  <w:marTop w:val="0"/>
                  <w:marBottom w:val="0"/>
                  <w:divBdr>
                    <w:top w:val="none" w:sz="0" w:space="0" w:color="auto"/>
                    <w:left w:val="none" w:sz="0" w:space="0" w:color="auto"/>
                    <w:bottom w:val="none" w:sz="0" w:space="0" w:color="auto"/>
                    <w:right w:val="none" w:sz="0" w:space="0" w:color="auto"/>
                  </w:divBdr>
                  <w:divsChild>
                    <w:div w:id="520243801">
                      <w:marLeft w:val="0"/>
                      <w:marRight w:val="0"/>
                      <w:marTop w:val="0"/>
                      <w:marBottom w:val="0"/>
                      <w:divBdr>
                        <w:top w:val="none" w:sz="0" w:space="0" w:color="auto"/>
                        <w:left w:val="none" w:sz="0" w:space="0" w:color="auto"/>
                        <w:bottom w:val="none" w:sz="0" w:space="0" w:color="auto"/>
                        <w:right w:val="none" w:sz="0" w:space="0" w:color="auto"/>
                      </w:divBdr>
                      <w:divsChild>
                        <w:div w:id="21117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2470">
              <w:marLeft w:val="0"/>
              <w:marRight w:val="0"/>
              <w:marTop w:val="0"/>
              <w:marBottom w:val="450"/>
              <w:divBdr>
                <w:top w:val="none" w:sz="0" w:space="0" w:color="auto"/>
                <w:left w:val="none" w:sz="0" w:space="0" w:color="auto"/>
                <w:bottom w:val="none" w:sz="0" w:space="0" w:color="auto"/>
                <w:right w:val="none" w:sz="0" w:space="0" w:color="auto"/>
              </w:divBdr>
              <w:divsChild>
                <w:div w:id="236987235">
                  <w:marLeft w:val="0"/>
                  <w:marRight w:val="0"/>
                  <w:marTop w:val="0"/>
                  <w:marBottom w:val="0"/>
                  <w:divBdr>
                    <w:top w:val="none" w:sz="0" w:space="0" w:color="auto"/>
                    <w:left w:val="none" w:sz="0" w:space="0" w:color="auto"/>
                    <w:bottom w:val="none" w:sz="0" w:space="0" w:color="auto"/>
                    <w:right w:val="none" w:sz="0" w:space="0" w:color="auto"/>
                  </w:divBdr>
                  <w:divsChild>
                    <w:div w:id="1100493811">
                      <w:marLeft w:val="0"/>
                      <w:marRight w:val="0"/>
                      <w:marTop w:val="0"/>
                      <w:marBottom w:val="0"/>
                      <w:divBdr>
                        <w:top w:val="none" w:sz="0" w:space="0" w:color="auto"/>
                        <w:left w:val="none" w:sz="0" w:space="0" w:color="auto"/>
                        <w:bottom w:val="none" w:sz="0" w:space="0" w:color="auto"/>
                        <w:right w:val="none" w:sz="0" w:space="0" w:color="auto"/>
                      </w:divBdr>
                      <w:divsChild>
                        <w:div w:id="1211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08727">
              <w:marLeft w:val="0"/>
              <w:marRight w:val="0"/>
              <w:marTop w:val="0"/>
              <w:marBottom w:val="450"/>
              <w:divBdr>
                <w:top w:val="none" w:sz="0" w:space="0" w:color="auto"/>
                <w:left w:val="none" w:sz="0" w:space="0" w:color="auto"/>
                <w:bottom w:val="none" w:sz="0" w:space="0" w:color="auto"/>
                <w:right w:val="none" w:sz="0" w:space="0" w:color="auto"/>
              </w:divBdr>
              <w:divsChild>
                <w:div w:id="1959069284">
                  <w:marLeft w:val="0"/>
                  <w:marRight w:val="0"/>
                  <w:marTop w:val="0"/>
                  <w:marBottom w:val="0"/>
                  <w:divBdr>
                    <w:top w:val="none" w:sz="0" w:space="0" w:color="auto"/>
                    <w:left w:val="none" w:sz="0" w:space="0" w:color="auto"/>
                    <w:bottom w:val="none" w:sz="0" w:space="0" w:color="auto"/>
                    <w:right w:val="none" w:sz="0" w:space="0" w:color="auto"/>
                  </w:divBdr>
                  <w:divsChild>
                    <w:div w:id="362706892">
                      <w:marLeft w:val="0"/>
                      <w:marRight w:val="0"/>
                      <w:marTop w:val="0"/>
                      <w:marBottom w:val="0"/>
                      <w:divBdr>
                        <w:top w:val="none" w:sz="0" w:space="0" w:color="auto"/>
                        <w:left w:val="none" w:sz="0" w:space="0" w:color="auto"/>
                        <w:bottom w:val="none" w:sz="0" w:space="0" w:color="auto"/>
                        <w:right w:val="none" w:sz="0" w:space="0" w:color="auto"/>
                      </w:divBdr>
                      <w:divsChild>
                        <w:div w:id="3565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515">
              <w:marLeft w:val="0"/>
              <w:marRight w:val="0"/>
              <w:marTop w:val="0"/>
              <w:marBottom w:val="450"/>
              <w:divBdr>
                <w:top w:val="none" w:sz="0" w:space="0" w:color="auto"/>
                <w:left w:val="none" w:sz="0" w:space="0" w:color="auto"/>
                <w:bottom w:val="none" w:sz="0" w:space="0" w:color="auto"/>
                <w:right w:val="none" w:sz="0" w:space="0" w:color="auto"/>
              </w:divBdr>
              <w:divsChild>
                <w:div w:id="651521875">
                  <w:marLeft w:val="0"/>
                  <w:marRight w:val="0"/>
                  <w:marTop w:val="0"/>
                  <w:marBottom w:val="0"/>
                  <w:divBdr>
                    <w:top w:val="none" w:sz="0" w:space="0" w:color="auto"/>
                    <w:left w:val="none" w:sz="0" w:space="0" w:color="auto"/>
                    <w:bottom w:val="none" w:sz="0" w:space="0" w:color="auto"/>
                    <w:right w:val="none" w:sz="0" w:space="0" w:color="auto"/>
                  </w:divBdr>
                  <w:divsChild>
                    <w:div w:id="1208420610">
                      <w:marLeft w:val="0"/>
                      <w:marRight w:val="0"/>
                      <w:marTop w:val="0"/>
                      <w:marBottom w:val="0"/>
                      <w:divBdr>
                        <w:top w:val="none" w:sz="0" w:space="0" w:color="auto"/>
                        <w:left w:val="none" w:sz="0" w:space="0" w:color="auto"/>
                        <w:bottom w:val="none" w:sz="0" w:space="0" w:color="auto"/>
                        <w:right w:val="none" w:sz="0" w:space="0" w:color="auto"/>
                      </w:divBdr>
                      <w:divsChild>
                        <w:div w:id="7900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73946">
              <w:marLeft w:val="0"/>
              <w:marRight w:val="0"/>
              <w:marTop w:val="0"/>
              <w:marBottom w:val="450"/>
              <w:divBdr>
                <w:top w:val="none" w:sz="0" w:space="0" w:color="auto"/>
                <w:left w:val="none" w:sz="0" w:space="0" w:color="auto"/>
                <w:bottom w:val="none" w:sz="0" w:space="0" w:color="auto"/>
                <w:right w:val="none" w:sz="0" w:space="0" w:color="auto"/>
              </w:divBdr>
              <w:divsChild>
                <w:div w:id="764615892">
                  <w:marLeft w:val="0"/>
                  <w:marRight w:val="0"/>
                  <w:marTop w:val="0"/>
                  <w:marBottom w:val="0"/>
                  <w:divBdr>
                    <w:top w:val="none" w:sz="0" w:space="0" w:color="auto"/>
                    <w:left w:val="none" w:sz="0" w:space="0" w:color="auto"/>
                    <w:bottom w:val="none" w:sz="0" w:space="0" w:color="auto"/>
                    <w:right w:val="none" w:sz="0" w:space="0" w:color="auto"/>
                  </w:divBdr>
                  <w:divsChild>
                    <w:div w:id="95642605">
                      <w:marLeft w:val="0"/>
                      <w:marRight w:val="0"/>
                      <w:marTop w:val="0"/>
                      <w:marBottom w:val="0"/>
                      <w:divBdr>
                        <w:top w:val="none" w:sz="0" w:space="0" w:color="auto"/>
                        <w:left w:val="none" w:sz="0" w:space="0" w:color="auto"/>
                        <w:bottom w:val="none" w:sz="0" w:space="0" w:color="auto"/>
                        <w:right w:val="none" w:sz="0" w:space="0" w:color="auto"/>
                      </w:divBdr>
                      <w:divsChild>
                        <w:div w:id="18755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3459">
              <w:marLeft w:val="0"/>
              <w:marRight w:val="0"/>
              <w:marTop w:val="0"/>
              <w:marBottom w:val="450"/>
              <w:divBdr>
                <w:top w:val="none" w:sz="0" w:space="0" w:color="auto"/>
                <w:left w:val="none" w:sz="0" w:space="0" w:color="auto"/>
                <w:bottom w:val="none" w:sz="0" w:space="0" w:color="auto"/>
                <w:right w:val="none" w:sz="0" w:space="0" w:color="auto"/>
              </w:divBdr>
              <w:divsChild>
                <w:div w:id="1970167840">
                  <w:marLeft w:val="0"/>
                  <w:marRight w:val="0"/>
                  <w:marTop w:val="0"/>
                  <w:marBottom w:val="0"/>
                  <w:divBdr>
                    <w:top w:val="none" w:sz="0" w:space="0" w:color="auto"/>
                    <w:left w:val="none" w:sz="0" w:space="0" w:color="auto"/>
                    <w:bottom w:val="none" w:sz="0" w:space="0" w:color="auto"/>
                    <w:right w:val="none" w:sz="0" w:space="0" w:color="auto"/>
                  </w:divBdr>
                  <w:divsChild>
                    <w:div w:id="230969880">
                      <w:marLeft w:val="0"/>
                      <w:marRight w:val="0"/>
                      <w:marTop w:val="0"/>
                      <w:marBottom w:val="0"/>
                      <w:divBdr>
                        <w:top w:val="none" w:sz="0" w:space="0" w:color="auto"/>
                        <w:left w:val="none" w:sz="0" w:space="0" w:color="auto"/>
                        <w:bottom w:val="none" w:sz="0" w:space="0" w:color="auto"/>
                        <w:right w:val="none" w:sz="0" w:space="0" w:color="auto"/>
                      </w:divBdr>
                      <w:divsChild>
                        <w:div w:id="18871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07437">
              <w:marLeft w:val="0"/>
              <w:marRight w:val="0"/>
              <w:marTop w:val="0"/>
              <w:marBottom w:val="450"/>
              <w:divBdr>
                <w:top w:val="none" w:sz="0" w:space="0" w:color="auto"/>
                <w:left w:val="none" w:sz="0" w:space="0" w:color="auto"/>
                <w:bottom w:val="none" w:sz="0" w:space="0" w:color="auto"/>
                <w:right w:val="none" w:sz="0" w:space="0" w:color="auto"/>
              </w:divBdr>
              <w:divsChild>
                <w:div w:id="1028261906">
                  <w:marLeft w:val="0"/>
                  <w:marRight w:val="0"/>
                  <w:marTop w:val="0"/>
                  <w:marBottom w:val="0"/>
                  <w:divBdr>
                    <w:top w:val="none" w:sz="0" w:space="0" w:color="auto"/>
                    <w:left w:val="none" w:sz="0" w:space="0" w:color="auto"/>
                    <w:bottom w:val="none" w:sz="0" w:space="0" w:color="auto"/>
                    <w:right w:val="none" w:sz="0" w:space="0" w:color="auto"/>
                  </w:divBdr>
                  <w:divsChild>
                    <w:div w:id="599292791">
                      <w:marLeft w:val="0"/>
                      <w:marRight w:val="0"/>
                      <w:marTop w:val="0"/>
                      <w:marBottom w:val="0"/>
                      <w:divBdr>
                        <w:top w:val="none" w:sz="0" w:space="0" w:color="auto"/>
                        <w:left w:val="none" w:sz="0" w:space="0" w:color="auto"/>
                        <w:bottom w:val="none" w:sz="0" w:space="0" w:color="auto"/>
                        <w:right w:val="none" w:sz="0" w:space="0" w:color="auto"/>
                      </w:divBdr>
                      <w:divsChild>
                        <w:div w:id="20397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rukovoditel2/rukovoditel3.shtml" TargetMode="External"/><Relationship Id="rId34" Type="http://schemas.openxmlformats.org/officeDocument/2006/relationships/header" Target="header2.xml"/><Relationship Id="rId7" Type="http://schemas.openxmlformats.org/officeDocument/2006/relationships/hyperlink" Target="http://&#1091;&#1095;&#1077;&#1073;&#1085;&#1080;&#1082;&#1080;.&#1080;&#1085;&#1092;&#1086;&#1088;&#1084;2000.&#1088;&#1092;/rukovoditel2/rukovoditel3.shtm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6.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17</Pages>
  <Words>1304</Words>
  <Characters>7433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2019-10-26T03:44:00Z</dcterms:created>
  <dcterms:modified xsi:type="dcterms:W3CDTF">2023-05-24T09:37:00Z</dcterms:modified>
</cp:coreProperties>
</file>