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Pr="005E54B0" w:rsidRDefault="00823FFD">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5E54B0">
        <w:rPr>
          <w:rFonts w:ascii="Times New Roman CYR" w:hAnsi="Times New Roman CYR" w:cs="Times New Roman CYR"/>
          <w:b/>
          <w:sz w:val="32"/>
          <w:szCs w:val="32"/>
        </w:rPr>
        <w:t>Анализ влияния таможенно-тарифных и нетарифных мер на экспорт нефтепродуктов из Российской Федерации</w:t>
      </w:r>
    </w:p>
    <w:p w:rsidR="005E54B0" w:rsidRDefault="005E54B0">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Образование Таможенного союза в рамках Евразийского экономического сообщества (далее - ТС ЕврАзЭс) и вступление Российской Федерации во Всемирную торговую организацию (далее - ВТО), с одной стороныпоказывает насколько разнообразным становится мир, насколько многовариантны формы взаимодействия государств между собой, а с другой - на взаимосвязанность и взаимозависимость экономик различных государств друг от друга. Самым главным вопросом, стоящим сегодня перед государствами в этой связи становится поиск наиболее оптимальных форм взаимодействия, с учетом соблюдения выработанных форм международного общения и уважения взаимных интересов.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Сотрудничество государств в торговой, научно - технической и культурной областях имеет глубокие исторические корни. На современном этапе развития цивилизации нормальное сосуществование государств немыслимо без международных обменов в сфере торговли, культуры, науки и техники. Глобализация в разных сферах жизни человечества ведет к усложнению таких обменов. Как следствие государства заключают по различным видам международных обменов многочисленные двусторонние, региональные и универсальные договоры. В сфере этих отношений функционируют десятки международных организаций.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таможенно-тарифной и нетарифной политики в России всегда были предметом исследования учеными не только с позиции экономики, но и юриспруденции. Это представляется логичным потому что очевидна их значимость для России с ее интеграционными процессами в мировое хозяйство. Экономка России всегда зависела от содержания таможенного тарифа, который </w:t>
      </w:r>
      <w:r>
        <w:rPr>
          <w:rFonts w:ascii="Times New Roman CYR" w:hAnsi="Times New Roman CYR" w:cs="Times New Roman CYR"/>
          <w:sz w:val="28"/>
          <w:szCs w:val="28"/>
        </w:rPr>
        <w:lastRenderedPageBreak/>
        <w:t>отчасти определял и ее место в международном разделении труда, а также указывал на зрелость внешнеторговой политики страны. Таможенный тариф представляет собой наиболее распространенный инструмент государственного регулирования внешней торговли, действующий через механизм ценообразования. Таможенно - тарифное регулирование осуществляется посредством установления ставок экспортных и импортных пошлин на товары, и за счет этого, повышая или понижая их, государство регулирует внешнеторговый оборот.</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направлений, значение которых за последние годы постоянно возрастает, является таможенное дело и таможенная политика, которые являются составной частью внутренней и внешней политики государства. Таможенная политика становиться важными активными факторами формирования экономических отношений, как внутри страны, так и формирование ее внешнеэкономической деятельности.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страны в той или иной форме используют инструменты таможенно-тарифной политики, с помощью которых они решают многие приоритетные социально - экономические проблемы, выходящие за рамки экспортно-импортной деятельности, в частности, реформирование и модернизация хозяйства, поддержание определенного уровня внутренних цен, стимулирование роста перспективных отраслей производства, пополнение доходной части бюджета.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истекшее десятилетие Россия сделала важные шаги по созданию системы таможенно-тарифного регулирования, отвечающей международным нормам и правилам. На настоящий момент перед нашей страной стоят сложные задачи по переходу на инновационную модель развития, диверсификации экономики и экспорта, укреплению национальной конкурентоспособности. </w:t>
      </w:r>
      <w:r>
        <w:rPr>
          <w:rFonts w:ascii="Times New Roman CYR" w:hAnsi="Times New Roman CYR" w:cs="Times New Roman CYR"/>
          <w:sz w:val="28"/>
          <w:szCs w:val="28"/>
        </w:rPr>
        <w:lastRenderedPageBreak/>
        <w:t>Реализация этого экономического курса требует адекватных мер и в области государственного таможенно-тарифного регулирования. Все вышесказанное определяет актуальность исследования и выбор данной темы курсовой работы.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анализ развития таможенно - тарифных и нетарифных мер на экспорт нефтепродукта.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изучения является общественные отношения и нормативно - правовое регулирование таможенно-тарифного и нетарифного регулирования экспорта нефтепродукта в таможенном союзе.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анализ развития таможенно - тарифных и нетарифных мер на экспорт нефтепродукта.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цели работы, сформулированы следующие задачи: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основные черты таможенно - тарифного регулирования;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условия и особенности реализации таможенной политики в среднесрочной перспективе;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особенности реализации мер таможенно - тарифной политики.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таможенный тарифный экспорт нефтепродукт</w:t>
      </w:r>
    </w:p>
    <w:p w:rsidR="005E54B0" w:rsidRPr="005E54B0" w:rsidRDefault="00FA71CC" w:rsidP="005E54B0">
      <w:pPr>
        <w:spacing w:after="0" w:line="360" w:lineRule="auto"/>
        <w:ind w:firstLine="709"/>
        <w:jc w:val="center"/>
        <w:rPr>
          <w:rFonts w:ascii="Calibri" w:eastAsia="Calibri" w:hAnsi="Calibri" w:cs="Times New Roman"/>
          <w:lang w:eastAsia="en-US"/>
        </w:rPr>
      </w:pPr>
      <w:hyperlink r:id="rId7" w:history="1">
        <w:r w:rsidR="005E54B0" w:rsidRPr="005E54B0">
          <w:rPr>
            <w:rFonts w:ascii="Arial" w:eastAsia="Times New Roman" w:hAnsi="Arial" w:cs="Arial"/>
            <w:b/>
            <w:color w:val="0000FF"/>
            <w:sz w:val="32"/>
            <w:szCs w:val="32"/>
            <w:u w:val="single"/>
          </w:rPr>
          <w:t>Написание на заказ курсовых, дипломов, диссертаций...</w:t>
        </w:r>
      </w:hyperlink>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ЭКОНОМИЧЕСКИЕ ОСНОВЫ РЕГУЛИРОВАНИЯ ЭКСПОРТА НЕФТЕПРОДУКТОВ</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Основы регулирования экспорта нефтепродуктов</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Внешнеэкономическая деятельность (ВЭД) представляет собой совокупность производственно-хозяйственных операций и организационно - правовых отношений хозяйствующих субъектов различных стран, связанных с реализацией ими работ, поставок товаров и оказания услуг на международном сегменте рынка.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ВЭД может быть определена как разновидность предпринимательской деятельности во внешнеторговой сфере. В свою очередь, под предпринимательской деятельностью понимается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ВЭД является важнейшей функцией государства. Государственное регулирование используется в интересах всего общества. Оно затрагивает интересы всей хозяйственной и социальной сферы, всех регионов страны, оказывает на них огромное влияние.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государственного регулирования - использование рычагов и методов, прямых и косвенных регуляторов экономических процессов. Различные аспекты экономической деятельности государство регулирует через бюджетную, банковскую систему, государственные заказы, таможенную службу. Широко используются планирование, экономическое прогнозирование, контроль и другие функции управления.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Государственное регулирование устанавливает правила и порядок экономической деятельности, ответственность за соблюдение этих правил.</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проведения промышленной и внешнеэкономической политики тесно взаимосвязаны и направлены на достижение целей экономического развития страны. То есть, цели государственного регулирования ВЭД подчинены решению стратегических задач государства как во внешнеэкономических отношениях в целом, так и в области развития национальной экономики. Пути, средства и методы, применяемые для достижения намеченных стратегических целей, выбираются в соответствии с конкретными экономическими и политическими условиями. Тактические задачи государственного регулирования ВЭД следует отличать от задач текущего характера, которые также могут решаться за счет применения методов государственного вмешательства в ВЭД.</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целями государственного регулирования ВЭД являются: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национальной экономической безопасности.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Защита внутреннего рынка страны от недобросовестной конкуренции.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благоприятных условий для национальных производителей экспортных товаров.</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конкурентоспособности отечественных товаров на мировом рынке, создание возможностей быстрого и беспрепятственного их продвижения на внешних рынках.</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устойчивого внешнего финансового положения и поддержание платежного баланса; выполнение международных обязательств.</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Защита прав и законных интересов субъектов внешнеэкономической деятельности.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Государственное регулирование внешнеэкономической деятельности в России осуществляется в соответствии со следующими принципами: единство </w:t>
      </w:r>
      <w:r>
        <w:rPr>
          <w:rFonts w:ascii="Times New Roman CYR" w:hAnsi="Times New Roman CYR" w:cs="Times New Roman CYR"/>
          <w:sz w:val="28"/>
          <w:szCs w:val="28"/>
        </w:rPr>
        <w:lastRenderedPageBreak/>
        <w:t>внешнеэкономической политики внешней и общей экономической политики; единство системы государственного регулирования и контроля за его реализацией; перенос центра тяжести регулирования с административных на экономические методы; четкое разграничение прав и ответственности Федерации и ее субъектов; обеспечение равенства всех участников ВЭД.</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стратегическая задача внешнеэкономической политики любой страны состоит в обеспечении благоприятных условий в сфере ВЭД для эффективного развития отечественного бизнеса. Помимо факторов, вытекающих из собственно внутринационального экономического развития, здесь действуют и факторы, вытекающие из общего процесса интернационализации экономической жизни. Во внешнеэкономической политике проявляются противоречивое взаимодействие двух основных тенденций в развитии современных международных экономических отношений - с одной стороны, гармонизации развития этих отношений, а с другой - обострения конкурентной борьбы на международной арене.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во внешнеэкономической политике реализуются два основных ее направления: протекционизм и либерализация внешнеэкономической деятельности. Протекционизм состоит в защите отечественного бизнеса и внутреннего рынка страны от иностранной конкуренции (пассивный аспект протекционизма) и/или поддержке отечественного бизнеса в его экспансии на рынках зарубежных государств (активный аспект протекционизма). Либерализация связана со снятием всевозможных видов барьеров, препятствующих развитию внешнеэкономических связей. Обычно понятие либерализации ВЭД связывается с понятием открытости национальных экономик.</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стратегических целей и направлений внешнеэкономической </w:t>
      </w:r>
      <w:r>
        <w:rPr>
          <w:rFonts w:ascii="Times New Roman CYR" w:hAnsi="Times New Roman CYR" w:cs="Times New Roman CYR"/>
          <w:sz w:val="28"/>
          <w:szCs w:val="28"/>
        </w:rPr>
        <w:lastRenderedPageBreak/>
        <w:t>политики решение тактических задач государственного регулирования ВЭД осуществляется на нескольких уровнях:</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наднациональном уровне, то есть на основе двусторонних и многосторонних соглашений и в сотрудничестве с международными организациями;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национальном уровне, где его можно разделить на несколько направлений: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регулирование ВЭД по отраслям: предполагает создание более благоприятных условий для перспективных экспортных отраслей, контроль над экспортом стратегически важных товаров, защиту временно убыточных отраслей;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регулирование ВЭД по регионам: предусматривает, в частности, поддержку развития внешнеэкономической деятельности, экспортных отраслей в отдельных регионах, например, путем создания специальных экономических зон.</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регулирование ВЭД на уровне участников - отдельных хозяйствующих субъектов; то есть непосредственно осуществление процедур предоставления лицензий, экспортно-импортного контроля, предоставление экспортных государственных заказов.</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Мировая торговля, несмотря на постоянную тенденцию к все большей ее либерализации, не является рыночным механизмом, предполагающим абсолютную свободу участников. Имея многовековые традиции и обычаи, она представляет собой вполне определенное правовое пространство, в рамках которого можно действовать только при условии выполнения сложившихся правил.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основы взимания таможенных платежей, размеры таможенных </w:t>
      </w:r>
      <w:r>
        <w:rPr>
          <w:rFonts w:ascii="Times New Roman CYR" w:hAnsi="Times New Roman CYR" w:cs="Times New Roman CYR"/>
          <w:sz w:val="28"/>
          <w:szCs w:val="28"/>
        </w:rPr>
        <w:lastRenderedPageBreak/>
        <w:t>платежей, порядок и сроки их уплаты, формы обеспечения уплаты таможенных платежей в Российской Федерации определяются актами таможенного законодательства Таможенного союза и нормативными правовыми актами Российской Федерации. К ним относятся: Таможенный кодекс Таможенного союза (далее - ТК ТС) (раздел 2 "Таможенные платежи"); международные соглашения, принятые государствами - участниками Таможенного союза в развитие положений ТК ТС (Соглашение от 9 декабря 2010 года "О порядке организации, управления, функционирования и развития общих рынков нефти и нефтепродуктов Республики Беларусь, Республики Казахстан и Российской Федерации" (далее - Соглашение) и др.); В соответствии ТК ТС, Государственной Думой был принят Федеральный Закон «О таможенном регулировании» № 311- ФЗ; Закон РФ от 21 мая 1993 года N 5003-1 "О таможенном тарифе" (далее - Закон "О Таможенном тарифе"); иные нормативные правовые акты, принятые в соответствии с вышеперечисленными документами (Постановление Правительства РФ N 261 "Об утверждении ставок вывозных таможенных пошлин на нефть сырую и на отдельные категории товаров, выработанные из нефти, вывозимые за пределы территории Российской Федерации и территории государств - участников соглашений о Таможенном союзе")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3 Закона "О таможенном тарифе", ставки вывозных таможенных пошлин на нефть сырую и нефтепродукты устанавливаются Правительством РФ (в долл. США за тонну) с учетом средней цены на нефть сырую марки "Юралс" на мировых рынках нефтяного сырья (средиземноморском и роттердамском) за последний период мониторинга и вводятся в действие с первого числа календарного месяца, следующего за окончанием периода мониторинга.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1 апреля 2013 года снижены ставки вывозных таможенных пошлин на нефть сырую и нефтепродукты, вывозимые за пределы территории РФ и территории государств - участников соглашений о Таможенном союзе.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ставка пошлины для нефти сырой (здесь и далее - ставка вывозной таможенной пошлины в долларах США за 1000 кг) теперь составляет 401,5 доллара США против 420,6 доллара США, установленных с 1 марта 2013 года.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Вывоз топлива жидкого, масел, отработанных нефтепродуктов, легких и средних дистиллятов, газойлей, бензола, толуола, вазелина нефтяного осуществляется по ставке таможенной пошлины в размере 265 долларов США (ранее - 277,6 доллара США).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История государственного регулирования экспорта нефтепродуктов</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Нефтяная промышленность играла важную роль в экономике царской России, вступившей во второй половине XIX в. на капиталистический путь развития. До середины 80-х гг. XIX века она стремительно развивалась и вышла на мировой рынок, став серьезным конкурентом американской нефтяной промышленности.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Промышленная добыча отечественной нефти была сосредоточена в двух районах: на Апшеронском полуострове (в Бакинской губернии) и на Северном Кавказе (в Терской и Кубанской областях). Еще в средние века добыча нефти в Баку являлась монополией персидских шахов. Известный венецианский купец Марко Поло, путешествовавший в конце XIII века по берегам Черного и Каспийского морей, в своих очерках писал, что нефть вывозилась из Баку в окрестные местности на верблюдах. Бакинские источники нефти перешли к </w:t>
      </w:r>
      <w:r>
        <w:rPr>
          <w:rFonts w:ascii="Times New Roman CYR" w:hAnsi="Times New Roman CYR" w:cs="Times New Roman CYR"/>
          <w:sz w:val="28"/>
          <w:szCs w:val="28"/>
        </w:rPr>
        <w:lastRenderedPageBreak/>
        <w:t>России при Петре I (1723 г.), но в 1735 г., в царствование Анны Иоанновны, были вновь возвращены Персии. Только в 1813 г. по Гюлистанскому трактату Баку окончательно отошел к России и ханские нефтеисточники стали государственной собственностью.</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концу XIX века действовало свыше 300 буровых скважин, около сотни заводов занимались переработкой нефти. Российская нефтяная промышленность с каждым годом развивалась все более быстрыми темпами. Нефть, вытеснившая по выражению Д.И.Менделева лучину из крестьянской избы, стала одним из основных продуктов потребления, спрос на который постоянно возрастал.</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добыча нефти превышала полмиллиарда пудов. На внутреннем рынке России наиболее крупными ее потребителями являлись Москва и Петербург. Начиная с 1880 г. наблюдался интенсивный приток в российскую нефтяную промышленность иностранных капиталов: в ее развитии участвовали французские, немецкие и английские фирмы. Министр финансов граф С.Ю.Витте уделял большое внимание нефтяной отрасли - одному из важнейших источников доходов государственного бюджета. В результате промышленной революции важной статьей экспорта России стали нефтепродукты. Бакинская нефтяная промышленность, быстро развиваясь и вытесняя американский продукт с отечественного рынка, устремилась за границу.</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открытием в 1883 г. движения по Закавказской железной дороге, соединившей бакинский нефтяной район с Батумским портом, российские нефтепродукты получили наиболее короткий и дешевый путь к зарубежным рынкам. Уже в 1885 г. впервые из Батума в Бомбей был вывезен керосин. Российский керосин стал вывозиться также в Константинополь, прибрежные города Малой Азии, Греческий Архипелаг и Египет, Индию и Австралию. Первоначально, из-за слабой организации экспортного дела, находившегося в </w:t>
      </w:r>
      <w:r>
        <w:rPr>
          <w:rFonts w:ascii="Times New Roman CYR" w:hAnsi="Times New Roman CYR" w:cs="Times New Roman CYR"/>
          <w:sz w:val="28"/>
          <w:szCs w:val="28"/>
        </w:rPr>
        <w:lastRenderedPageBreak/>
        <w:t>руках иностранных фирм, вывоз нефтепродуктов увеличивался медленно. В связи с этим важное значение имело основание Батумского нефтепромышленного и торгового общества - первого русского предприятия по развитию нефтяной торговли с заграничными рынками. Это предприятие, переименованное впоследствии в Черноморско-Каспийское торговое промышленное общество, в 1886 г. перешло в руки парижского банкирского дома братьев Ротшильд. С тех пор оно заняло лидирующее положение в нефтяном экспорте. В начале ХХ века Россия ежегодно экспортировала свыше 50 млн. пудов нефтепродуктов (керосина и осветительных масел). По потреблению керосина на одного человека Россия занимала одно из последних мест - 5 кг/год (США - 75, Бельгия - 38, Германия - 14,3, Швецария - 14,3, Англия - 13,4, Австро-Венгрия - 4,4 кг/год).</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XIX - начале XX века самые крупные действующие месторождения нефти в мире находились в США и России. Высокие темпы развития российской нефтяной промышленности позволили ей со второй половины 90-х годов XIX века стать мировым лидером по добыче нефти. К примеру, в 1900 г. Россия добыла 632 млн. пудов. Однако, с 1903 г. вперед выходят США (табл. 1.1). Как главные нефтедобывающие государства Россия и США являлись основными поставщиками нефти и ее производных на мировой рынок.</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1.1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в мировой добыче нефти (в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6"/>
        <w:gridCol w:w="817"/>
        <w:gridCol w:w="673"/>
        <w:gridCol w:w="709"/>
        <w:gridCol w:w="817"/>
        <w:gridCol w:w="817"/>
        <w:gridCol w:w="817"/>
        <w:gridCol w:w="817"/>
        <w:gridCol w:w="817"/>
        <w:gridCol w:w="616"/>
        <w:gridCol w:w="716"/>
        <w:gridCol w:w="817"/>
      </w:tblGrid>
      <w:tr w:rsidR="00F66867">
        <w:tc>
          <w:tcPr>
            <w:tcW w:w="88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1901</w:t>
            </w:r>
          </w:p>
        </w:tc>
        <w:tc>
          <w:tcPr>
            <w:tcW w:w="67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1902</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1903</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1904</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1905</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1906</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1907</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1908</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1909</w:t>
            </w:r>
          </w:p>
        </w:tc>
        <w:tc>
          <w:tcPr>
            <w:tcW w:w="7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19010</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w:t>
            </w:r>
          </w:p>
        </w:tc>
      </w:tr>
      <w:tr w:rsidR="00F66867">
        <w:tc>
          <w:tcPr>
            <w:tcW w:w="88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67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7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r>
      <w:tr w:rsidR="00F66867">
        <w:tc>
          <w:tcPr>
            <w:tcW w:w="88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67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7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сайта http://www.oilru.com/nr</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российским правительством в 1891 г. высокой пошлины на иностранные продукты перегонки нефти обеспечило монополию отечественного керосина на внутреннем рынке и перспективу на мировом. Первоначально российский керосин (как и прочие нефтепродукты) в основном экспортировался в европейские страны, главным образом в Англию, Австрию, Голландию, Турцию и Италию. Позже отечественные нефтепродукты стали проникать и в страны Дальнего Востока: Индию, Индокитай, Китай, Японию. В 1890 г. 70% русского керосина экспортировалось в Европу, но уже 3-4 года спустя больше половины его отправлялось в восточные страны. Керосин в ящиках из Батума доставлялся на парусных и паровых судах, а наливной - исключительно на паровых. Свыше 95% вывозимого керосина из Батума доставлялось английскими пароходами, которые фрахтовались в Лондоне.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Китай русский керосин доставлялся в ящиках и наливом. Одним из главных распределительных пунктов для керосина бы Гонконг, который снабжал этим продуктом все города и провинции Южного Китая. Вторым распределительным центром являлся портовый город Шанхай.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Японию наливной керосин из Батума привозился на собственных паровых и парусных судах. После Британской Индии и Китая именно Япония являлась третьим керосиновым рынком для России на Дальнем Востоке. В вывозе нефтяных продуктов через Батум на долю фирм братьев Нобель и Ротшильд (Каспийско-Черноморское Товарищество) приходилось 50-60%. В последнее десятилетие XIX века в экспорте преобладают азиатские потребители (табл. 1.2). Наибольшее количество керосина Россия вывезла в 1904 г. - 85,1 млн. пудов.</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1.2</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 нефтепродуктов из России (млн.пудов)</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877"/>
        <w:gridCol w:w="709"/>
        <w:gridCol w:w="740"/>
        <w:gridCol w:w="850"/>
        <w:gridCol w:w="851"/>
        <w:gridCol w:w="1063"/>
        <w:gridCol w:w="1063"/>
        <w:gridCol w:w="1063"/>
      </w:tblGrid>
      <w:tr w:rsidR="00F66867">
        <w:tc>
          <w:tcPr>
            <w:tcW w:w="107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w:t>
            </w:r>
          </w:p>
        </w:tc>
        <w:tc>
          <w:tcPr>
            <w:tcW w:w="7216" w:type="dxa"/>
            <w:gridSpan w:val="8"/>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F66867">
        <w:tc>
          <w:tcPr>
            <w:tcW w:w="107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1893</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1894</w:t>
            </w:r>
          </w:p>
        </w:tc>
        <w:tc>
          <w:tcPr>
            <w:tcW w:w="74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w:t>
            </w:r>
          </w:p>
        </w:tc>
        <w:tc>
          <w:tcPr>
            <w:tcW w:w="85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1896</w:t>
            </w:r>
          </w:p>
        </w:tc>
        <w:tc>
          <w:tcPr>
            <w:tcW w:w="8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1897</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1898</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1899</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w:t>
            </w:r>
          </w:p>
        </w:tc>
      </w:tr>
      <w:tr w:rsidR="00F66867">
        <w:tc>
          <w:tcPr>
            <w:tcW w:w="107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Европа</w:t>
            </w:r>
          </w:p>
        </w:tc>
        <w:tc>
          <w:tcPr>
            <w:tcW w:w="8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4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85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8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F66867">
        <w:tc>
          <w:tcPr>
            <w:tcW w:w="107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Восток</w:t>
            </w:r>
          </w:p>
        </w:tc>
        <w:tc>
          <w:tcPr>
            <w:tcW w:w="8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74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85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8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06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сайта http://www.oilru.com/nr</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1899 г. цены на керосин, коп/пуд, на европейских рынках были такие: Гамбург: русский - 100, американский - 108; Лондон: русский - 93, американский - 111.</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1906 г. из-за экспортного кризиса Россия утратила свои ведущие позиции на восточных рынках. Из европейских государств наиболее емким был рынок Германии, потреблявший около 800 тыс. т керосина в год. Прочные позиции Россия имела в Англии, являвшейся также крупным рынком керосина среди западноевропейских государств. До 1904 г. русский керосин обеспечивал почти половину потребностей Англии. Затем лидерство здесь, как и в Германии, перешло в США.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же касается мирового нефтяного рынка, то на нем полную монополию имел американский трест "Стандард ойл". В 1906 г. в противовес заокеанскому тресту возникло международное европейское объединение во главе с немецким банком - "Европейский нефтяной союз", в состав которого наряду с австрийскими и румынскими фирмами вошли также "Братья Нобель", "Каспийско-Черноморское общество" и общество "Манташев и Ко". В 1907 г. монополистические объединения договорились о разделе сфер влияния, подписав соглашение, по которому доля "Европейского нефтяного союза" определялась в 25%, а "Стандард ойл" - 75%. К концу первого десятилетия ХХ в. к упомянутым международным трестам присоединилась и англо-голландская </w:t>
      </w:r>
      <w:r>
        <w:rPr>
          <w:rFonts w:ascii="Times New Roman CYR" w:hAnsi="Times New Roman CYR" w:cs="Times New Roman CYR"/>
          <w:sz w:val="28"/>
          <w:szCs w:val="28"/>
        </w:rPr>
        <w:lastRenderedPageBreak/>
        <w:t>компания "Ройял Датч Шелл", настойчиво укреплявшая свои позиции как в России (на Дальнем Востоке), так и в Европе.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экспорта керосина Россией на мировой рынок зависел не столько от ситуации на отечественном рынке, сколько от сильной конкуренции, прежде всего с американским трестом "Стандард ойл". В рассматриваемое время керосин являлся основным средством освещения, поэтому торговля им доминировала на мировом рынке. В отличие от других стран, в России производилось много мазута, который широко использовался в энергетическом хозяйстве.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"Эра керосина" (с конца XIX в. до первой мировой войны) на международном рынке была отмечена острой конкурентной борьбой за места сбыта этой нефтяной продукции и керосиновой войной (1910-1912 гг.).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вытеснения русского керосина с заграничных рынков центр тяжести экспорта нефтепродуктов России стал смещаться в сторону смазочных масел. Главным экспортером смазочных масел являлось товарищество братьев Нобель, за ним - Ротшильд, Шибаев, Лиознов, Менташев и другие. Благодаря своим отличным качествам русские смазочные масла в то время пользовались на мировом рынке устойчивой репутацией и постоянным спросом.</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Российский экспорт смазочных масел в 1901 - 1904 гг. в среднем составлял 12,8 млн. пудов, а в 1912 г. - 16,47 млн. пудов. В общеевропейском экспорте масел Россия в 1911 г. имела 21,1%, США - 63,3%, Румыния - 2,9%. На европейском рынке главными потребителями смазочных масел были Англия, Германия и Бельгия. Конкурентами России являлись США и Румыния.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1920-х годах экспорт нефти и нефтепродуктов был одной из немногих статей, позволявших Советскому Союзу получать существенные валютные доходы. В 1922 г. был создан Синдикат нефтяной промышленности - </w:t>
      </w:r>
      <w:r>
        <w:rPr>
          <w:rFonts w:ascii="Times New Roman CYR" w:hAnsi="Times New Roman CYR" w:cs="Times New Roman CYR"/>
          <w:sz w:val="28"/>
          <w:szCs w:val="28"/>
        </w:rPr>
        <w:lastRenderedPageBreak/>
        <w:t>Нефтесиндикат, который вместе с Нефтеторгом и Нефтеэкспортом занимался продажей нефти и нефтепродуктов за границу. С 12 сентября 1923 г. Нефтесиндикат «являлся монопольным органом по реализации нефти как на внутреннем, так и на внешнем рынках с непосредственным подчинением ВСНХ СССР в лице ГУТ (Главное управление по топливу ВСНХ СССР)». После ликвидации Нефтесиндиката в 1930 г. для торговли нефтью за рубежом было создано специальное государственное объединение «Нефтеэкспорт», подчиненное Наркомату внешней торговли. Перед этими организациями ставилась задача по увеличению нефтеэкспорта, который поднялся от 948 тыс. т нефти и нефтепродуктов в 1913 г. до 1685 тыс. т в 1926 г. и 2882 тыс. т в 1928 г. К 1928 г. доля советской нефти и нефтепродуктов на мировом рынке составляла 5,2 %.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1928/1929 г., операционный год с 1 октября по 30 сентября, которым в период НЭП измерялся ежегодный цикл в народном хозяйстве СССР, было вывезено 31,8 % нефтепродуктов, произведенных в стране, а бензина даже 88 %. Советская нефтяная промышленность имела ярко выраженную экспортную ориентацию, которую во второй половине 1920-х годов было решено усилить.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с этой целью тогда строились два мощных нефтепровода к Черному морю (Баку - Батум и Грозный - Туапсе), а также НПЗ в начальных и конечных пунктах этих нефтепроводов. Весной 1929 г. в строй действующих вступил трубопровод Грозный - Туапсе, в феврале 1930 г. - Баку - Батум. К этому времени значительная часть НПЗ в Батуме и Туапсе, как и в Баку, и в Грозном, уже была сдана. Строительство новых НПЗ было особенно важно для того, чтобы увеличить выпуск бензина, пользовавшегося тогда большим спросом на мировом рынке.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1928 г. структура мирового нефтеэкспорта (см. табл. 1.3) существенно </w:t>
      </w:r>
      <w:r>
        <w:rPr>
          <w:rFonts w:ascii="Times New Roman CYR" w:hAnsi="Times New Roman CYR" w:cs="Times New Roman CYR"/>
          <w:sz w:val="28"/>
          <w:szCs w:val="28"/>
        </w:rPr>
        <w:lastRenderedPageBreak/>
        <w:t xml:space="preserve">изменилась по сравнению с довоенным временем и существенно отличалась от структуры нефтеэкспорта СССР (см. табл. 1.4). Доля керосина на международном рынке за 15 лет упала втрое и составляла 9,3 %, хотя в советском нефтеэкспорте керосин занимал почти четверть объема - 24,3 %. Мировой экспорт бензина увеличился вдвое и практически весь бензин, произведенный в Советском Союзе, отправлялся заграницу. </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отдельных нефтепродуктов в мировом нефтеэкспорте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ко всему товарному вывозу)</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205"/>
        <w:gridCol w:w="1380"/>
        <w:gridCol w:w="1880"/>
        <w:gridCol w:w="2656"/>
      </w:tblGrid>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20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38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Керосин</w:t>
            </w:r>
          </w:p>
        </w:tc>
        <w:tc>
          <w:tcPr>
            <w:tcW w:w="188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Смазочные масла</w:t>
            </w:r>
          </w:p>
        </w:tc>
        <w:tc>
          <w:tcPr>
            <w:tcW w:w="26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 и сырая нефть</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1913</w:t>
            </w:r>
          </w:p>
        </w:tc>
        <w:tc>
          <w:tcPr>
            <w:tcW w:w="120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38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c>
          <w:tcPr>
            <w:tcW w:w="188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26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1928</w:t>
            </w:r>
          </w:p>
        </w:tc>
        <w:tc>
          <w:tcPr>
            <w:tcW w:w="120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38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88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6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Нефтяное хозяйство. - 1929. - No 10. - С. 603.</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советского нефтеэкспорта в 1927-1928 гг.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тыс. т. и в % от общего нефтеэкспорта)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1826"/>
        <w:gridCol w:w="1422"/>
      </w:tblGrid>
      <w:tr w:rsidR="00F66867">
        <w:tc>
          <w:tcPr>
            <w:tcW w:w="4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нефтеэкспорта</w:t>
            </w:r>
          </w:p>
        </w:tc>
        <w:tc>
          <w:tcPr>
            <w:tcW w:w="3248" w:type="dxa"/>
            <w:gridSpan w:val="2"/>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Нефтеэкспорт</w:t>
            </w:r>
          </w:p>
        </w:tc>
      </w:tr>
      <w:tr w:rsidR="00F66867">
        <w:tc>
          <w:tcPr>
            <w:tcW w:w="4252"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8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т.</w:t>
            </w:r>
          </w:p>
        </w:tc>
        <w:tc>
          <w:tcPr>
            <w:tcW w:w="14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66867">
        <w:tc>
          <w:tcPr>
            <w:tcW w:w="4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Керосин</w:t>
            </w:r>
          </w:p>
        </w:tc>
        <w:tc>
          <w:tcPr>
            <w:tcW w:w="18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663,3</w:t>
            </w:r>
          </w:p>
        </w:tc>
        <w:tc>
          <w:tcPr>
            <w:tcW w:w="14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r>
      <w:tr w:rsidR="00F66867">
        <w:tc>
          <w:tcPr>
            <w:tcW w:w="4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8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760,3</w:t>
            </w:r>
          </w:p>
        </w:tc>
        <w:tc>
          <w:tcPr>
            <w:tcW w:w="14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r>
      <w:tr w:rsidR="00F66867">
        <w:tc>
          <w:tcPr>
            <w:tcW w:w="4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Смазочные масла и спец.продукты</w:t>
            </w:r>
          </w:p>
        </w:tc>
        <w:tc>
          <w:tcPr>
            <w:tcW w:w="18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245,1</w:t>
            </w:r>
          </w:p>
        </w:tc>
        <w:tc>
          <w:tcPr>
            <w:tcW w:w="14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F66867">
        <w:tc>
          <w:tcPr>
            <w:tcW w:w="4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Нефтетопливо и сырая нефть</w:t>
            </w:r>
          </w:p>
        </w:tc>
        <w:tc>
          <w:tcPr>
            <w:tcW w:w="18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w:t>
            </w:r>
          </w:p>
        </w:tc>
        <w:tc>
          <w:tcPr>
            <w:tcW w:w="14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r>
      <w:tr w:rsidR="00F66867">
        <w:tc>
          <w:tcPr>
            <w:tcW w:w="4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2727,7</w:t>
            </w:r>
          </w:p>
        </w:tc>
        <w:tc>
          <w:tcPr>
            <w:tcW w:w="14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РГАСПИ.Ф. 670. Оп. 1. Д. 38. Л. 69</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снижении спроса на керосин в Европе приходилось вывозить советский керосин на рынки Востока - в Египет, Индию, Турцию и Персию. В Египет и Индию экспорт осуществлялся через мировые тресты. В 1924/1925 г. ими было продано 44 % советского керосина, в 1925/1926 г. - 24 %, в 1926/1927 г. - 33 %. Продажа керосина в Турции производилась отделением Нефтесиндиката </w:t>
      </w:r>
      <w:r>
        <w:rPr>
          <w:rFonts w:ascii="Times New Roman CYR" w:hAnsi="Times New Roman CYR" w:cs="Times New Roman CYR"/>
          <w:sz w:val="28"/>
          <w:szCs w:val="28"/>
        </w:rPr>
        <w:lastRenderedPageBreak/>
        <w:t xml:space="preserve">из своих складов. Норма ввоза советских нефтепродуктов в эту страну устанавливалась специальным договором с турецкой монополией. В Персии в 1920-х годах советские нефтепродукты продавало советско-персидское общество «Персазнефть». Основной капитал общества был внесен «Азнефтью» (51 %), торгпредством СССР в Персии (15 %) и советско-персидским обществом «Шарк». Для реализации своих нефтепродуктов на европейских рынках Нефтесиндикат использовал четыре основных вида товаропроводящих каналов: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продажи государственным потребителям;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продажи независимым фирмам, которые брали на себя дальнейшее продвижение продукции к потребителям;</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продажи компаниям, входившим в состав главных мировых нефтяных групп 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реализация через собственный распределительный аппарат, созданный в 1920-е годы в некоторых государствах.</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советская фирма «Russian Oil Products» (по первым буквам в русской транскрипции - «РОП») работала в Великобритании с августа 1924 г.; к началу 1925 г. она построила распределительные нефтехранилища в Бристоле и Кардиффе и стала продавать нефтепродукты через собственный нефтеторговый аппарат, на первых порах - на 1 - 3 пенса дешевле, чем другие фирмы. В середине 1920-х годов советские внешнеторговые ведомства создали в Германии собственную «Немецко-российскую нефтяную компанию» («Deutsche-Russische Naphta Kompanie» - «Дерунафт») для распределения нефтепродуктов. Другой советской нефтяной компанией в Германии была «Дероп», созданная в 1927/1928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1927 г. Нефтесиндикат имел свои отделения и агентства в Милане, Вене, Праге, Константинополе, Смирне (Измире), Ревеле, Гельсингфорсе и Харбине. </w:t>
      </w:r>
      <w:r>
        <w:rPr>
          <w:rFonts w:ascii="Times New Roman CYR" w:hAnsi="Times New Roman CYR" w:cs="Times New Roman CYR"/>
          <w:sz w:val="28"/>
          <w:szCs w:val="28"/>
        </w:rPr>
        <w:lastRenderedPageBreak/>
        <w:t>Кроме того, Нефтесиндикат был пайщиком акционерных обществ во Франции («Нафтрюсс») и Италии. В начале 1930-х годов Советский Союз продолжал осваивать новые рынки. В 1931 г. советские нефтепродукты впервые появились в южном Китае и Корее, в 1932 г. -Канаде и Новой Зеландии. Еще до окончания строительства нефтепроводов СССР стал наращивать нефтяной флот. В 1928 г. отмечалось: «За последние два года флот пополнился 4-мя новыми единицами: «Азнефть», «Грознефть», «Эльбрус», «Нефтесиндикат». Заканчивалось строительство нефтетопливных судов «Эмбанефть», «Советская Нефть», «Союз горнорабочих СССР». С введением этих судов тоннаж Нефтесиндиката должен был достичь 60 тыс. тонн. Кроме того, по заказу Нефтесиндиката на советских верфях строилось еще 5 судов с общим тоннажем 40 тыс.тонн».</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остановить «войну цен», в которую переросла конкуренция на мировом рынке, 17 сентября 1928 г. три ведущих нефтяных компании мира(«Стандарт Ойл», «Шелл» и «Англо-Персидская» - будущая «Бритиш Петролеум») подписали так называемое Акнакарийское соглашение, в результате которого был основан Международный нефтяной картель. И, одновременно, те же корпорации начали переговоры с Советским Союзом о согласовании позиции на рынках нефти. 28 февраля 1929 г. «Нью-Йорк Таймс» сообщала: «В четверг Детер-динг (Генри Детердинг - руководитель крупнейшей англо-нидерландской компании «Ройял Датч/Шелл»; после национализации нефтяных активов компании в Азербайджане активно выступал против СССР) и британские нефтяные фирмы заключили мир с Советами. Только что подписан договор на три года, который не только прекращает войну цен между британцами и Советами (РОП) на британском рынке..., но также кладет конец политическому враждебному отношению Детердинга к Советам. Главное достижение Советов заключается в том, что в договоре нет пункта о компенсации, которая должна </w:t>
      </w:r>
      <w:r>
        <w:rPr>
          <w:rFonts w:ascii="Times New Roman CYR" w:hAnsi="Times New Roman CYR" w:cs="Times New Roman CYR"/>
          <w:sz w:val="28"/>
          <w:szCs w:val="28"/>
        </w:rPr>
        <w:lastRenderedPageBreak/>
        <w:t>была бы уплачиваться Детердингу за национализированную собственность, на что он до сих пор предъявлял такую упорную претензию».</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Соглашение с западными корпорациями имело для Советского Союза скорее политическое значение. В конце 1929 г. начался кризис, названный в Америке Великой депрессией, на мировом рынке цены на нефть резко упали, и в новых условиях Советский Союз и нефтяные компании не смогли согласовать свою политику. В годы кризиса на мировом рынке резко упал спрос на нефть. В результате с 1929 по 1932 г. мировая нефтедобыча (без СССР) упала на 17 %. В СССР за тот же период добыча нефти, напротив, выросла на 56,5 % и к 1932 г. ее объем более чем на 3 млн. т превышал мощности нефтепереработки. Сырую нефть Советский Союз готов был экспортировать по демпинговым ценам. В несколько меньшей степени это относилось к нефтепродуктам, составлявшим основную часть нефтяного экспорта: когда строились черноморские НПЗ, не предполагалось, что их продукцию придется доставлять потребителям во внутренние районы России. Однако Советскому Союзу нужна была валюта для закупок оборудования, проведения форсированной модернизации экономики, создания новых предприятий и целых отраслей, ведь предприятия, построенные в годы НЭП, к 1928/1929 г. выпускали всего 4 % промышленной продукции СССР. Экспорт нефти позволял Советскому Союзу производить грандиозные закупки машин и оборудования. В разгар кризиса СССР наращивал экспорт нефти и нефтепродуктов (в физическом объеме), но выручка от их реализации существенно падала (см. табл 1.5). Увеличивали вывоз нефти и некоторые другие страны, например Румыния, где нефтеэкспорт вырос от 2,8 до 4,9 млн. т. Но США проводили иную политику: за годы кризиса экспорт нефтепродуктов оттуда сократился с 16,7 до 9,4 млн. т.</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Таблица 1.5</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 нефти и нефтепродуктов из СССР в 1929- 1933 гг. по стоимости и физическому объему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781"/>
        <w:gridCol w:w="887"/>
        <w:gridCol w:w="993"/>
        <w:gridCol w:w="851"/>
        <w:gridCol w:w="1596"/>
      </w:tblGrid>
      <w:tr w:rsidR="00F66867">
        <w:tc>
          <w:tcPr>
            <w:tcW w:w="2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78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w:t>
            </w:r>
          </w:p>
        </w:tc>
        <w:tc>
          <w:tcPr>
            <w:tcW w:w="88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1930</w:t>
            </w:r>
          </w:p>
        </w:tc>
        <w:tc>
          <w:tcPr>
            <w:tcW w:w="9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1931</w:t>
            </w:r>
          </w:p>
        </w:tc>
        <w:tc>
          <w:tcPr>
            <w:tcW w:w="8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1932</w:t>
            </w:r>
          </w:p>
        </w:tc>
        <w:tc>
          <w:tcPr>
            <w:tcW w:w="159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1933</w:t>
            </w:r>
          </w:p>
        </w:tc>
      </w:tr>
      <w:tr w:rsidR="00F66867">
        <w:tc>
          <w:tcPr>
            <w:tcW w:w="2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(млн. руб.)</w:t>
            </w:r>
          </w:p>
        </w:tc>
        <w:tc>
          <w:tcPr>
            <w:tcW w:w="78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88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9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8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159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r>
      <w:tr w:rsidR="00F66867">
        <w:tc>
          <w:tcPr>
            <w:tcW w:w="2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Физический объем (млн. т.)</w:t>
            </w:r>
          </w:p>
        </w:tc>
        <w:tc>
          <w:tcPr>
            <w:tcW w:w="78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c>
          <w:tcPr>
            <w:tcW w:w="88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4,71</w:t>
            </w:r>
          </w:p>
        </w:tc>
        <w:tc>
          <w:tcPr>
            <w:tcW w:w="9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8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59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Внешняя торговля к VII съезду Советов СССР: Отчет народного комиссариата внешней торговли. - М., 1935. - С. 12.</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Советский нефтяной экспорт, нараставший в годы Великой депрессии, вызывал большую озабоченность ведущих нефтяных компаний, объединившихся в Международный нефтяной картель. В мае 1932 г. при участии СССР в Нью-Йорке открылась нефтяная конференция, основным вопросом которой стал экспорт советской нефти. Английские и американские представители предложили Советскому Союзу отказаться от самостоятельных действий на мировых рынках и поставлять им по 5 млн. т нефти ежегодно в течение 10 лет по фиксированной цене. Советский Союз не устраивала предложенная квота, т.к. была надежда на увеличение экспорта. Низкими, по мнению СССР, оказались и предложенные цены. Кроме того, не удалось придти к соглашению по вопросу о собственной сбытовой организации СССР за рубежом, которую западные партнеры предлагали ликвидировать. Советская сторона с начала переговоров выдвинула чрезмерные требования, а когда сняла их, то было уже поздно. По этому поводу И.В. Сталин писал Л.М. Кагановичу: «Директива Розенгольца (он вел переговоры от имени Советского правительства) исходит не из учета сил, а из максималистских требований, не подкрепленных силой. Так соглашения не строят. Нефтяная группа сильнее нас экономически. Она всегда может помешать нашему нефтеэкспорту, может сбить </w:t>
      </w:r>
      <w:r>
        <w:rPr>
          <w:rFonts w:ascii="Times New Roman CYR" w:hAnsi="Times New Roman CYR" w:cs="Times New Roman CYR"/>
          <w:sz w:val="28"/>
          <w:szCs w:val="28"/>
        </w:rPr>
        <w:lastRenderedPageBreak/>
        <w:t>цены и вогнать нас в большие убытки, если даже предположить, что бросовой нефти для экспорта будет у нас все больше и больше. Но дело в том, что бросовой нефти у нас не будет больше, и наш экспортный нефтяной фонд будет уменьшаться ввиду колоссального и все растущего спроса на нефтепродукты со стороны водного и желдортранспорта, грузовой и автомобильной промышленности, тракторной и авиационной промышленности... Директива Розенгольца не учитывает силу и удельный вес нефтяников в деле интервенций. Она не учитывает того, что нам выгодно более или менее нейтрализовать политически англо-американскую нефтяную группу, если мы в самом деле хотим сохранить мир хотя бы в ближайшие два-три года». Переговоры в Нью-Йорке продолжались несколько недель, однако договориться с западными партнерами ни тогда, ни позже Советскому Союзу не удалось.</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концу первой пятилетки нефтепродукты были самой крупной статьей советского экспорта и составляли 18,7 % от его общей стоимости. Несмотря на мировой кризис, при подготовке заданий на вторую пятилетку намечалось резко увеличить вывоз нефти и нефтепродуктов. В декабре 1931 г. Госплан предложил к 1937 г. довести нефтяной экспорт СССР до 10,4 млн. т; на первое место среди экспортных товаров должны были выйти бензин и лигроин - 4,25 млн. т, затем мазут - 2,25 млн. т, керосин - 1,2 млн. т, газойль - 1,0 млн. т, смазочные масла - 525 тыс. т. На сырую нефть должно было приходиться менее 6 % нефтяного экспорта (600 тыс. т).</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этим планам не было суждено осуществиться. Во второй пятилетке нефтяной экспорт СССР значительно упал: нефти едва хватало для удовлетворения внутренних потребностей. Прирост ее добычи резко замедлился, а потребности в нефтепродуктах возросли. Бензин стал нужен для своих автомобилей, производство которых в СССР возросло от 671 штуки в 1927/1928 </w:t>
      </w:r>
      <w:r>
        <w:rPr>
          <w:rFonts w:ascii="Times New Roman CYR" w:hAnsi="Times New Roman CYR" w:cs="Times New Roman CYR"/>
          <w:sz w:val="28"/>
          <w:szCs w:val="28"/>
        </w:rPr>
        <w:lastRenderedPageBreak/>
        <w:t>г. до 23879 штук в 1932 г. и 96700 штук в 1935 г.. Примерно таким же было положение с горючим для тракторов: с 1926/1927 г. его потребление увеличилось в 18,7 раза. Все больше нефтепродуктов требовали авиация и вооруженные силы. В результате, вместо намечавшихся к 1937 г. 4,25 млн. т бензина и лигроина вывезли в 10 раз меньше лишь 415 тыс. т; вместо 1,2 млн. т керосина - 243 тыс. т. К 1935 г. доля экспорта в общем объеме производства упала не только по нефтепродуктам, но и по многим другим товарам. Удельный вес экспорта в продукции народного хозяйства СССР снизился с 3,5 % в 1930 г. до 0,8 % в 1936 г.. В еще большей мере, чем экспорт, в начале второй пятилетки упал советский импорт. С 1931 по 1934 г. он в неизменных ценах сократился в 3,3 раза. Интересно, что максимальная доля импорта в поставках оборудования для «Азнефти» за весь период с 1920 по 1940 г. пришлась на 1926/1927 г.; тогда она достигла 40,6%.</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годы второй пятилетки структура советского экспорта изменилась. Доля нефтепродуктов уменьшилась, и объем выручки от их реализации был ниже, чем от реализации лесоматериалов, хлеба и пушнины.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Уменьшение вывоза нефти и нефтепродуктов из СССР продолжалось в годы третьей пятилетки: если в 1937 г. экспорт нефтепродуктов и сырой нефти составил 1930 тыс. т, то в 1938 г. - 1389 тыс. т, а в 1939 г. - 718 тыс. т. В 1940 г. нефтеэкспорт незначительно вырос до 874 тыс. т, что объясняется крупными поставками нефтепродуктов в Германию. Географическая структура советского нефтеэкспорта в этот период заметно менялась. В 1927/1928 г. на первом месте по объему ввоза из СССР нефти и нефтепродуктов стояла Италия -494 тыс. т, на втором была Великобритания -387 тыс. т, на третьем -Франция - 355 тыс. т, на четвертом - Германия - 344 тыс. т. Те же четыре страны, правда, в иной последовательности лидировали как импортеры советских нефтепродуктов и в </w:t>
      </w:r>
      <w:r>
        <w:rPr>
          <w:rFonts w:ascii="Times New Roman CYR" w:hAnsi="Times New Roman CYR" w:cs="Times New Roman CYR"/>
          <w:sz w:val="28"/>
          <w:szCs w:val="28"/>
        </w:rPr>
        <w:lastRenderedPageBreak/>
        <w:t>1929 г. (табл. 1.5).</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отдельных стран в советском экспорте нефти и нефтепродуктов в 1929 г. (в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005"/>
        <w:gridCol w:w="577"/>
        <w:gridCol w:w="686"/>
        <w:gridCol w:w="577"/>
        <w:gridCol w:w="677"/>
        <w:gridCol w:w="747"/>
        <w:gridCol w:w="775"/>
        <w:gridCol w:w="713"/>
        <w:gridCol w:w="806"/>
        <w:gridCol w:w="577"/>
      </w:tblGrid>
      <w:tr w:rsidR="00F66867">
        <w:tc>
          <w:tcPr>
            <w:tcW w:w="198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Страны</w:t>
            </w:r>
          </w:p>
        </w:tc>
        <w:tc>
          <w:tcPr>
            <w:tcW w:w="100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Великобритания</w:t>
            </w:r>
          </w:p>
        </w:tc>
        <w:tc>
          <w:tcPr>
            <w:tcW w:w="5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Италия</w:t>
            </w:r>
          </w:p>
        </w:tc>
        <w:tc>
          <w:tcPr>
            <w:tcW w:w="68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Германия</w:t>
            </w:r>
          </w:p>
        </w:tc>
        <w:tc>
          <w:tcPr>
            <w:tcW w:w="5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Франция</w:t>
            </w:r>
          </w:p>
        </w:tc>
        <w:tc>
          <w:tcPr>
            <w:tcW w:w="6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Испания</w:t>
            </w:r>
          </w:p>
        </w:tc>
        <w:tc>
          <w:tcPr>
            <w:tcW w:w="74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Египет</w:t>
            </w:r>
          </w:p>
        </w:tc>
        <w:tc>
          <w:tcPr>
            <w:tcW w:w="77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Турция</w:t>
            </w:r>
          </w:p>
        </w:tc>
        <w:tc>
          <w:tcPr>
            <w:tcW w:w="71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Индия</w:t>
            </w:r>
          </w:p>
        </w:tc>
        <w:tc>
          <w:tcPr>
            <w:tcW w:w="8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Южная Африка</w:t>
            </w:r>
          </w:p>
        </w:tc>
        <w:tc>
          <w:tcPr>
            <w:tcW w:w="5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Бельгия</w:t>
            </w:r>
          </w:p>
        </w:tc>
      </w:tr>
      <w:tr w:rsidR="00F66867">
        <w:tc>
          <w:tcPr>
            <w:tcW w:w="198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в советском экспорте</w:t>
            </w:r>
          </w:p>
        </w:tc>
        <w:tc>
          <w:tcPr>
            <w:tcW w:w="100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5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68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5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6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74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7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71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8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7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 Мировая нефтяная торговля. - М. - Л.: Внешторгиздат, 1936. - С. 259.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1933 г. и по физическому объему, и по стоимости на первом месте среди покупателей советской нефти стояла Германия (до этого лидировала Великобритания), куда было экспортировано 10,3 % физического объема и 13,9 % стоимостного объема нефти и нефтепродуктов, в 1934 г. - соответственно 10,6 % и 14,3 %, в 1935 г. - соответственно 14,6 % и 19,7 %, в 1936 г. - соответственно 13,1 % и 15,4 %.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целом до Второй мировой войны значение советской нефти в импорте нефтепродуктов Германии было несущественным. В 1938 г. немецкий импорт нефти и нефтепродуктов составил 5019 тыс. т, из них 44,4 % поставили Венесуэла и Вест-Индия, 23,7 % - США, 8,9 % - Мексика, 3,7 % - Ирак, 3,1 % - Голландская Ост- Индия, 2,5 % - Перу, 0,65 % - Эстония, 0,3% - Польша, 3,5 % (190 тыс. т) - прочие. В 1938 - 1939 гг. Советский Союз практически не вывозил нефть и нефтепродукты в Германию; с 1933 г. их экспорт неуклонно снижался, в 1938 г. он упал почти до нулевой отметки. В 1940 г. объем поставок нефти и нефтепродуктов из СССР в Германию резко взлетел до 657 тыс. т. Это составляло 75 % советского экспорта нефтепродуктов, что вполне понятно, если вспомнить </w:t>
      </w:r>
      <w:r>
        <w:rPr>
          <w:rFonts w:ascii="Times New Roman CYR" w:hAnsi="Times New Roman CYR" w:cs="Times New Roman CYR"/>
          <w:sz w:val="28"/>
          <w:szCs w:val="28"/>
        </w:rPr>
        <w:lastRenderedPageBreak/>
        <w:t xml:space="preserve">общеполитическую ситуацию того времени. После начала советско-финской войны в Англии и Франции даже разрабатывались планы бомбардировки бакинских нефтепромыслов. В годы предвоенных пятилеток максимальным экспорт нефти и нефтепродуктов из СССР был в 1932 г. - 5592 тыс. т нефтепро дуктов и 526 тыс. т сырой нефти; минимальным - в 1939 г., снизившись по сравнению с 1932 г. в 8,5 раз - до 474 тыс. т нефтепродуктов и 244 тыс. т сырой нефти. Экспорт керосина сократился за те же годы в 15,4 раза, бензина - в 17,2 раза. Планы прироста нефтедобычи во второй пятилетке выполнены небыли; более того, темп прироста существенно замедлился по сравнению с первой пятилеткой. Таким же оставалось положение и в третьей пятилетке. Все больше нефтепродуктов требовало народное хозяйство СССР. С 1929 по 1935 г. доля экспортного бензина сократилась с 91,5 % общего бензинового производства до 21,4 %, а керосина с 34 % до 8,5 %. В дальнейшем эта доля падала еще больше. В 1939 г. экспорт бензина из СССР был в 5,6 раза меньше, чем в 1935 г.; экспорт керосина за те же годы уменьшился в 7,7 раза.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половине 1930-х годов нефтяная промышленность СССР утратила преимущественно экспортную ориентацию; масштабы нефтеэкспорта многократно сократились. Причины этого - резко возросший спрос на нефтепродукты на внутреннем рынке, который не успевала удовлетворять нефтяная промышленность, а также ухудшение условий сбыта нефтепродуктов на внешнем рынке. После 1932 г. объемы вывоза нефтепродуктов уменьшались ежегодно, лишь в 1940 г. имел место относительно незначительный прирост вывоза, целиком направленный в Германию.</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послевоенный период в СССР произошел огромный рост добычи нефти - с 19,436 млн т в 1945 году до 148 млн т в 1960. И именно тогда, в 1960 году, обнародуется решение о широкомасштабном экспорте нефти. «Наши братские </w:t>
      </w:r>
      <w:r>
        <w:rPr>
          <w:rFonts w:ascii="Times New Roman CYR" w:hAnsi="Times New Roman CYR" w:cs="Times New Roman CYR"/>
          <w:sz w:val="28"/>
          <w:szCs w:val="28"/>
        </w:rPr>
        <w:lastRenderedPageBreak/>
        <w:t xml:space="preserve">страны давно нуждаются в нефти, а наша страна располагает ею в избытке И кому, как не нам помочь братским странам нефтью?», - писала «Пионерская правда» 13 декабря 1960 года.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первые послевоенные годы экспорт нефтепродуктов из СССР был незначителен;а сырая нефть до 1948 года не вывозилась вообще. В 1950 году доля нефтепродуктов в валютной выручке составляла 3,9%. Но в 1955 году эта доля поднялась до 9,6% и в дальнейшем продолжила свой рост. Однако нефть в те времена стоила довольно дёшево - 2,88 доллара за баррель. По курсу 1:4, установленному в 1950 году, это составляло 11 рублей 52 копейки. Себестоимость же добычи одного барреля и его транспортировки до пункта назначения составляла в среднем 9 рублей 61 копейку. При таком положении дел экспорт был практически нерентабельным. Рентабельным он мог бы стать в случае, если за доллар будут давать больше рублей. После же проведения реформы за баррель нефтяники получали в долларах почти столько же - $2.89, но в рублях эта сумма уже составляла 2 рубля 60 копеек при всё той же 96-копеечной себестоимости барреля. Хитрая деноминация 1961 года принесла стране две беды - зависимость от нефтяного экспорта и хронический дефицит продовольствия, ведущий за собой коррупцию в сфере торговли.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1970-х годах СССР резко увеличил объём экспорта нефти в западные страны, в Западную Европу, прежде всего Германию и Италию. В начале 1970-х годов в мире происходил нефтяной кризис, арабские страны ОПЕК &lt;http://newsruss.ru/doc/index.php/%D0%9E%D0%9F%D0%95%D0%9A&gt; повысили цены на нефть в несколько раз, поэтому европейские страны попытались диверсифицировать свои поставки и стали закупать частично нефть в СССР. Пик советского нефтеэкспорта был в 1980 году по странам СЭВ, доходы от экспорта нефтепродуктов составляли 27 млрд. долларов, а ВВП СССР был равен 2,5 трлн. долларов, а в 1984 году - абсолютный пик экспорта. СССР тогда экспортировал 172 млн тонн нефти. В 1970 год на экспорт уходило 95,8 млн тонн. Из них нефтепродукты - 29,0 млн тонн и сырая нефть - 66,8 млн тонн.</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1985 г. увеличение затрат на ввод в действие новых скважин и поддержание добычи на действующих, недостаток ресурсов приводят к падению нефтедобычи в СССР на 12 млн т. В это же время медленное снижение реальной стоимости нефти, начавшееся в 1981-1984 г., после решения Саудовской Аравии увеличить добычу более чем в трое, сменяется беспрецедентным в истории отрасли обвалом цен. В 1985-1986 гг. цены на ресурсы, от которых зависел бюджет Советского Союза, его внешнеторговый баланс, стабильность потребительского рынка, возможность закупать десятки миллионов тонн зерна в год, способность обслуживать внешний долг, финансировать армию и ВПК, упали в несколько раз.</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распада СССР внутренний спрос на нефть упал, возможностей для экспорта не хватало. Падение объемов добычи нефти прекратилось только в 1997 году. Мировой рынок нефти вступает в продолжительный период стагнации. Препятствовать росту цен и подталкивать их к снижению в долгосрочной перспективе будет сложившийся на рынке устойчивый избыток предложения нефти.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Было отмечено, что с 1920 года по 1970 год мировая нефтедобыча увеличивалась не только почти в каждом новом году, но и по десятилетиям добыча росла практически в геометрической прогрессии (увеличивалась почти вдвое за каждые 10 лет). С 1979 года происходит замедление темпов роста мировой нефтедобычи. В начале 80-х даже происходит кратковременное снижение добычи нефти. В дальнейшем рост объемов добычи нефти возобновляется, но уже не такими стремительными темпами как на первом этапе.</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ВЛИЯНИЕ СОВРЕМЕННЫХ МЕР ГОСУДАРСТВЕННОГО РЕГУЛИРОВАНИЯ НА ЭКСПОРТ НЕФТЕПРОДУКТОВ</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.1.Анализ запасов нефтепродуктов и добычи нефти</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Начиная с 1999 года, то есть уже 15 лет, рыночная стоимость нефти была как минимум в два раза выше средней себестоимости ее производства. Стабильно высокий и растущий уровень цен привел к началу разработки значительных запасов, ранее считавшихся нерентабельными, а также стимулировал увеличение расходов на интенсификацию добычи, доразведку и расконсервацию старых месторождений.</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Несмотря на падение объемов добычи нефти в начале 80-х и периодически случающиеся кризисы, в целом мировая добыча нефти неуклонно растет. Среднегодовые темпы роста за период с 1970 по 2012 гг. составили порядка 1,7%, причем этот показатель существенно меньше среднегодовых темпов роста мирового ВВП.</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362450" cy="32702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3270250"/>
                    </a:xfrm>
                    <a:prstGeom prst="rect">
                      <a:avLst/>
                    </a:prstGeom>
                    <a:noFill/>
                    <a:ln>
                      <a:noFill/>
                    </a:ln>
                  </pic:spPr>
                </pic:pic>
              </a:graphicData>
            </a:graphic>
          </wp:inline>
        </w:drawing>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t>Источник</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данные</w:t>
      </w:r>
      <w:r>
        <w:rPr>
          <w:rFonts w:ascii="Times New Roman CYR" w:hAnsi="Times New Roman CYR" w:cs="Times New Roman CYR"/>
          <w:sz w:val="28"/>
          <w:szCs w:val="28"/>
          <w:lang w:val="en-US"/>
        </w:rPr>
        <w:t xml:space="preserve"> BP Statistical Review of World Energy 2013</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2.1. Динамика добычи нефти в мире, млн. т.</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Целый ряд стран сумел предложить рынку новые объемы нефти и газа, причем значительные. Падение цен на газ в результате сланцевой революции в США (с 550 до 70-150 долларов за 1 тыс. куб. метров) переключило внимание </w:t>
      </w:r>
      <w:r>
        <w:rPr>
          <w:rFonts w:ascii="Times New Roman CYR" w:hAnsi="Times New Roman CYR" w:cs="Times New Roman CYR"/>
          <w:sz w:val="28"/>
          <w:szCs w:val="28"/>
        </w:rPr>
        <w:lastRenderedPageBreak/>
        <w:t>разработчиков залежей сланцевого газа на добычу сланцевой нефти. Канада развернула активную добычу и переработку природных битумов. Австралия начала активно наращивать добычу сланцевого газа и мощностей по сжижению - по прогнозу, к 2017-2018 годам страна станет лидировать в мире по объему экспорта СПГ, обогнав нынешнего лидера - Катар. Одновременно мы видим значительные перспективы роста добычи в ближайшие годы на шельфе Бразилии и в странах Африки, а уже лет через пять в роли активного участника мирового рынка нефти выступит Мексика, которую пока что не считают перспективным игроком. Кроме того, активную работу по разведке и разработке собственных месторождений углеводородов начали такие страны, как Италия, Великобритания, Венгрия и Румыния.</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 тенденция приняла столь значительный размах, что, несмотря на рост потребления нефти развивающимися странами, объемы ее дополнительного производства в последние два года начали превышать объемы потребления; цены на нефть не только стабилизировались, но и делали попытки просесть. Однако различные обстоятельства (волна арабских революций, гражданская война и падение добычи в Ливии, обострение отношений между суннитскими и шиитскими государствами, гражданская война в Сирии, реальная угроза начала войны между Ираном и Израилем, а также эмбарго на экспорт нефти из Ирана) не позволяли ценам пойти вниз. Трудно себе представить, что все эти события произошли за два года в одном регионе с высокой концентрацией нефтедобычи, однако мы не увидели скачка цен хотя бы до 150 долларов за баррель - цены на нефть стабильно оставались примерно на одном уровне.</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Бурный рост добычи в странах, которые прежде не были серьезными игроками на мировом рынке нефти, и перспективы дальнейшего роста были уравновешены нестабильностью политической обстановки в нефтедобывающем регионе.</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Доказанные мировые запасы нефти составляют около 140 млрд. т. Наибольшая часть мировых запасов - около 64% - приходится на Ближний и Средний Восток. Второе место занимает Америка, на долю которой приходится около 15%.</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Самые богатые нефтью страны - Саудовская Аравия (25% от доказанных мировых запасов), Ирак (10,8%), ОАЭ (9,3%), Кувейт (9,2%), Иран (8,6%) и Венесуэла (7,3%) - все они являются членами ОПЕК, на долю которого приходится около 78% от мировых запасов. Доказанные запасы стран СНГ, включая Россию, - около 6% от мировых, США - около 3%, Норвегии - около 1%.</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124200" cy="388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3886200"/>
                    </a:xfrm>
                    <a:prstGeom prst="rect">
                      <a:avLst/>
                    </a:prstGeom>
                    <a:noFill/>
                    <a:ln>
                      <a:noFill/>
                    </a:ln>
                  </pic:spPr>
                </pic:pic>
              </a:graphicData>
            </a:graphic>
          </wp:inline>
        </w:drawing>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 данные сайта www.forexaw.com</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2.2 Доказанные запасы нефти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Добыча нефти в России с начала 2000-х годов стабильно растет, хотя в последнее время темпы роста замедлились, а в 2008-м было даже небольшое снижение. Начиная с 2010 года, добыча нефти в России преодолела планку в 500 млн. тонн в год и уверенно держится выше этого уровня неуклонно повышаясь.</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2012 году продолжилась повышательная тенденция в добыче нефти. В России было добыто 526 млн. тонн нефти, что на 1,2% выше, чем в 2011 году.</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62550" cy="2400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400300"/>
                    </a:xfrm>
                    <a:prstGeom prst="rect">
                      <a:avLst/>
                    </a:prstGeom>
                    <a:noFill/>
                    <a:ln>
                      <a:noFill/>
                    </a:ln>
                  </pic:spPr>
                </pic:pic>
              </a:graphicData>
            </a:graphic>
          </wp:inline>
        </w:drawing>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 данные сайта www.vseonefti.ru</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2.3 Добыча нефти в России, млн. тонн</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Два года (2009 и 2010) Россия удерживала первое место в мире по добыче нефти. С 2011 года она вновь переместилась на второе, уступив первенство Саудовской Аравии.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Россия является одним из крупнейших участников мирового энергетического рынка.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течение 2000-2011 гг. доля России в мировой добыче нефти возросла с 8,9% до 12,8%. Доля в 12,8% сохранилась и в 2012 году.</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Россия является ключевым поставщиком нефти и нефтепродуктов для европейских стран; наращивает поставки нефти в страны Азиатско - тихоокеанского региона.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Весомая доля России на мировом нефтяном рынке делает страну одним из ведущих участников системы глобальной энергетической безопасности.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Демонополизация и приватизация нефтяной отрасли в России за последние двадцать лет привели к созданию крупных вертикально интегрированных нефтяных компаний, каждая из которых занимается полным циклом добычи и переработки нефти. Именно эти компании сегодня определяют лицо нефтяной отрасли, осуществляя реализацию нефти на внутренним рынке, а также ее экспорт. При экспорте нефти и отдельных категорий товаров, выработанных из нефти (далее - нефтепродукты), нефтяные компании уплачивают вывозные таможенные пошлины &lt;http://www.brokert.ru/services/tamojennye-poshliny&gt;, за счет которых, в том числе формируются нефтегазовые доходы федерального бюджета.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Особая роль нефтяной промышленности обусловила специальный режим регулирования общих рынков нефти и нефтепродуктов в рамках Таможенного </w:t>
      </w:r>
      <w:r>
        <w:rPr>
          <w:rFonts w:ascii="Times New Roman CYR" w:hAnsi="Times New Roman CYR" w:cs="Times New Roman CYR"/>
          <w:sz w:val="28"/>
          <w:szCs w:val="28"/>
        </w:rPr>
        <w:lastRenderedPageBreak/>
        <w:t>союза между Российской Федерацией, Республикой Беларусь и Республикой Казахстан (далее - Таможенный союз), действующего с июля 2010 года и представляющего собой один из важнейших интеграционных процессов в отношениях вышеперечисленных стран, способствующий расширению рынков сбыта, снятию таможенных барьеров и т.д.</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течение последних семи лет в России устанавливались высокие ставки вывозных таможенных пошлин на сырую нефть по сравнению со ставками на нефтепродукты. В 2004 году из-за устойчивого роста цен на нефть на мировом рынке Правительство РФ резко повысило вывозные таможенные пошлины на сырую нефть. Одновременно произошло изменение в механизме установления ставок вывозных таможенных пошлин на нефтепродукты: сначала вывозные таможенные пошлины на нефтепродукты стали устанавливаться на уровне примерно 65% от сырой нефти, затем была введена разница между вывозными таможенными пошлинами на светлые нефтепродукты (дизельное топливо и др.) и темные нефтепродукты (мазут и др.), составлявшими до конца 2011 года 67% и 46,7% от сырой нефти соответственно.</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ставки вывозных таможенных пошлин, установленные несколько лет назад, предусматривали значительную разницу между ставками на сырую нефть и светлые нефтепродукты, а также еще большую разницу между ставками на сырую нефть и темные нефтепродукты. Смысл вышеуказанной системы состоял в следующем: резкое повышение вывозных таможенных пошлин на сырую нефть (по сравнению с пошлинами на нефтепродукты) должно было стимулировать вложения нефтяных компаний в модернизацию оборудования и переработку нефти с тем, чтобы экспорт нефтепродуктов осуществлялся по более низким ставкам. Однако этого не произошло.</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сложившейся системы обложения вывозными таможенными пошлинами сырой нефти и нефтепродуктов рос экспорт мазута, который затем снова перерабатывается на европейских заводах, и стимулов вкладываться во вторичную переработку нефти на территории России не было. Кроме того, разработка месторождений в Восточной Сибири и на Ямале при сложившихся высоких ставках вывозных таможенных пошлин на сырую нефть не представлялась доходной. Таким образом, данная система обложения вывозными таможенными пошлинами сырой нефти и нефтепродуктов не была эффективной: государство взимало слишком высокие вывозные таможенные пошлины на сырую нефть (что отражалось на разведке и добыче нефти) и субсидировало процессы первичной переработки нефти. Для развития российской нефтяной отрасли требовалось проведение комплексной реформы ее налогообложения, в частности, в отношении взимания вывозных таможенных </w:t>
      </w:r>
      <w:r>
        <w:rPr>
          <w:rFonts w:ascii="Times New Roman CYR" w:hAnsi="Times New Roman CYR" w:cs="Times New Roman CYR"/>
          <w:sz w:val="28"/>
          <w:szCs w:val="28"/>
        </w:rPr>
        <w:lastRenderedPageBreak/>
        <w:t>пошлин - повышение ставок вывозных таможенных пошлин на нефтепродукты и постепенное снижение ставок вывозных таможенных пошлин на сырую нефть.</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поддержания уровня добычи нефти, разработки нефтяных месторождений в удаленных районах Сибири, а также морских месторождений в Арктике (в том числе с помощью инвестиций крупнейших зарубежных нефтяных компаний) Правительством РФ был установлен курс на постепенное снижение нагрузки на нефтяной сектор, известный также как "программа 60/66".</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октября 2011 года вступило в силу Постановление Правительства РФ от 26 августа 2011 года N 716 (далее - Постановление N 716), в соответствии с которым были введены новые ставки вывозных таможенных пошлин на нефтепродукты. Данное Постановление унифицирует ставки вывозных таможенных пошлин на светлые и темные нефтепродукты и вводит единую ставку в размере 66 процентов от ставки вывозной таможенной пошлины на сырую нефть:</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ставка вывозной таможенной пошлины на дизельное топливо и легкие дистилляты в настоящее время снижена с 67% от вывозной таможенной пошлины на сырую нефть до 66%;</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ставка вывозной таможенной пошлины на мазут повышена с 46,7% до 66%;</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ставка вывозной таможенной пошлины на прямогонные бензины и бензины товарные сохраняется на уровне 90% от вывозной таможенной пошлины на нефть сырую.</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этого режима является стимулирование добычи нефти в старых нефтеносных районах, снижение экспорта продуктов первичной переработки нефти, в том числе мазута, а также увеличение инвестиционной привлекательности вторичной переработки и выпуск нефтепродуктов глубокого передела (бензин, дизельное топливо). В соответствии с параметрами режима, установленными впостановлении Правительства Российской Федерации от 27 декабря 2010 г.№ 1155, в 2012 году были приняты 12 постановлений Правительства Российской Федерации, корректирующих размер ставок вывозных таможенных пошлин на нефть и нефтепродукты. При этом в течение всего года ставка вывозной пошлины на бензинысохраняласьв размере 90% от ставки пошлины на нефть.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Продолжилась реализация дифференцированного налогового режима при экспорте нефти, добытой на труднодоступных участках недр. Так, для ряда месторождений Восточной Сибири и Северного Каспия сохранялась пониженная ставка вывозной таможенной пошлины, уровень которой не превышал 35% от уровня ставки вывозной пошлины на нефть.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Правительством Российской Федерации были приняты решения, направленные на создание благоприятных инвестиционных условий по </w:t>
      </w:r>
      <w:r>
        <w:rPr>
          <w:rFonts w:ascii="Times New Roman CYR" w:hAnsi="Times New Roman CYR" w:cs="Times New Roman CYR"/>
          <w:sz w:val="28"/>
          <w:szCs w:val="28"/>
        </w:rPr>
        <w:lastRenderedPageBreak/>
        <w:t xml:space="preserve">разработке шельфовых месторождений Арктической зоны Российской Федерации, а также по добыче сверхвязкой нефти в размере 10% от действующей ставки вывозной таможенной пошлины на нефть сырую на период до 10 лет.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2000 - 2010 гг. объем переработки нефти вырос на 80 млн тонн, а экспорт нефтепродуктов - на 60 млн тонн. При этом фактически отсутствовали экономические стимулы к модернизации мощностей переработки нефти из-за пониженной ставки пошлины на мазут. </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14950" cy="2774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2774950"/>
                    </a:xfrm>
                    <a:prstGeom prst="rect">
                      <a:avLst/>
                    </a:prstGeom>
                    <a:noFill/>
                    <a:ln>
                      <a:noFill/>
                    </a:ln>
                  </pic:spPr>
                </pic:pic>
              </a:graphicData>
            </a:graphic>
          </wp:inline>
        </w:drawing>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 данные ФТС</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2.4 Объем первичной переработки нефти и изменение экспортных пошлин</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Таким образом, дифференциация ставок таможенных пошлин на нефть и нефтепродукты представляла собой, по сути, значительную субсидию нефтепереработке. Величина «субсидии», исходя из всего объема экспорта нефтепродуктов, доходила до 20 млрд долл. в год и увеличивалась при росте цены «Юралс».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значительной прибыли нефтепереработки это не привело к инвестиционным вложениям в отрасль. Стратегия большинства компаний заключалась в получении максимального денежного потока за счет дозагрузки простаивающих мощностей, а не модернизации процесса производства.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Налоговая реформа с введением формулы «60-66» должна была повысить доходы нефтекомпаний от экспорта нефти и заставить их повышать глубину переработки. Если до 2011 г. стояла задача простой переработки нефти, то теперь стимулируется строительство комплексов гидрокрекинга, направленных на производство дизельного топлива. К дифференциалу между ценами на дизельное топливо и мазут добавляется дополнительная премия. Но рост пошлины на темные нефтепродукты, замечают авторы исследования, вовсе не подорвал экономику небольших неэффективных НПЗ («самоваров»), поставляющих на экспорт мазут. И вместо нерентабельности малая нефтепереработка переживает небывалый бум. Загрузка российских мини-НПЗ продолжает расти из месяца в месяц, что указывает на высокую доходность их работы. Такая динамика связана с тем, что, несмотря на повышение средних пошлин на нефтепродукты с уровня 55% до 66% от пошлин на нефть, при достаточно высоких ценах (в 2012 г. средняя цена «Юралс» составила 110,5 долл/барр.) первичная переработка остается выгодней экспорта нефти.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Авторы, исследуя экономику российских НПЗ, называют их главные проблемы - недостаток вторичных мощностей и плохую логистику (удаленность от внешних рынков при избытке мощностей переработки для обеспечения внутреннего спроса).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Средний российский нефтеперерабатывающий завод из-за худших выходов и качества продуктов проигрывает в доходности среднему крекинговому европейскому НПЗ около 83 долл. на тонну перерабатываемой продукции. А высокие транспортные затраты по доставке нефтепродуктов до основных экспортных рынков приводят к потере части маржи переработки. В результате экспорт нефтепродуктов с завода, расположенного в Центральном регионе, обходится дороже, чем экспорт нефти, в среднем, на 50 долл/т. В то же время субсидирование экспортных пошлин на нефтепродукты относительно экспортных пошлин на нефть, действующее в настоящее время, более чем компенсирует российским нефтеперерабатывающим заводам отставание. При </w:t>
      </w:r>
      <w:r>
        <w:rPr>
          <w:rFonts w:ascii="Times New Roman CYR" w:hAnsi="Times New Roman CYR" w:cs="Times New Roman CYR"/>
          <w:sz w:val="28"/>
          <w:szCs w:val="28"/>
        </w:rPr>
        <w:lastRenderedPageBreak/>
        <w:t xml:space="preserve">существующей системе таможенных пошлин маржа российских заводов лучше европейских, и даже худшие НПЗ генерируют положительную чистую маржу. </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22850" cy="32131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50" cy="3213100"/>
                    </a:xfrm>
                    <a:prstGeom prst="rect">
                      <a:avLst/>
                    </a:prstGeom>
                    <a:noFill/>
                    <a:ln>
                      <a:noFill/>
                    </a:ln>
                  </pic:spPr>
                </pic:pic>
              </a:graphicData>
            </a:graphic>
          </wp:inline>
        </w:drawing>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 данные сайта http://ecsocman.hse.ru</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2.5 Ранжирование российских НПЗ по конфигурации и логистике 2012 г.</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 рис. 2.5 площадь круга соответствует величине чистой маржи НПЗ в системе «60-66-90», при цене «Юралс» 109 долл./барр, и с учетом фактических премий внутреннего рынка 2012 г. к расчетному экспортному паритету</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части эффективности строительства первичной переработки через систему «60-66-90-100», заявляют авторы исследования, государство посылает бизнесу неверные сигналы. В результате компании принимают неоправданные решения относительно строительства новых простых НПЗ, дополнительных мощностей первичной переработки или чрезмерно высокой модернизации вместо закрытия части неэффективных первичных мощностей переработки. Это удивительный факт, но многие компании по-прежнему хотят строить простые заводы, причем многие из этих заводов находятся достаточно далеко от основных рынков.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Политика в сфере таможенного регулирования привела к стимулированию первичной переработки.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Наибольший прирост продукции обеспечивает строительство новых мощностей на экспортно-ориентированных НПЗ юга России - Туапсинский (+7,6 млн тонн), Афипский (+6 млн тонн), Новошахтинский (+4,5 млн тонн), Краснодарский (+5 млн тонн).</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высока доля региональных НПЗ - ТАНЕКО (+7 млн тонн), Антипинский НПЗ (+3,7 млн тонн), Яйский НПЗ (+6 млн тонн). По многим проектам прирост мощностей можно считать свершившимся фактом - это Туапсинский НПЗ, первые очереди ТАНЕКО и Яйского НПЗ. Реализация других проектов будет зависеть, главным образом, от государственной политики.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Заметим также, что сегодня, несмотря на то что половина продукции нефтепереработки экспортируется, практически весь экспорт приходится на дизельное топливо, мазут и нафту.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повышения транспарентности тарифного регулирования при экспорте углеводородов в 2012 годуосуществлялась разработкаединой методики предоставления льгот по вывозным таможенным пошлинам на нефть, добываемую на новых месторождениях углеводородов.Начало функционирования указанной методики предполагается в середине 2014 года.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Были также внесены изменения в статью 3 Закона Российской Федерации «О таможенном тарифе», а также подготовлен ряд нормативных правовых актов, устанавливающих четкие процедуры и критерии, на основании которых Правительством Российской Федерации будут приниматься решения по стимулированию новых инвестиционных проектов в добыче нефти.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области регулирования экспортанефти, нефтепродуктов и газа обязательствами в ВТО предусмотрено применение особой формулы расчета </w:t>
      </w:r>
      <w:r>
        <w:rPr>
          <w:rFonts w:ascii="Times New Roman CYR" w:hAnsi="Times New Roman CYR" w:cs="Times New Roman CYR"/>
          <w:sz w:val="28"/>
          <w:szCs w:val="28"/>
        </w:rPr>
        <w:lastRenderedPageBreak/>
        <w:t>ставок на нефть и нефтепродукты, что допускает возможность их небольшого повышения (не более 5-7%) по сравнению с действующими вывозными таможенными пошлинами. На природный газ (а также сжиженный углеводородный газ) зафиксирована предельная ставка вывозной таможенной пошлины в размере 30% от таможенной стоимости, на сжиженный природный газ - на уровне 21%, но не более 40 евро за 1 т без обязательств по ее снижению.</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среднесрочной перспективе основой системы налогообложения экспорта в нефтяной отрасли станут параметры введенного в 2011году режима «60-66», предполагающего создание стимулирующих условий для развития добычи нефти в традиционных регионах (Западная Сибирь, Поволжье), ускоренного инвестирования в процессы вторичной переработки нефти вместо развития выпуска продуктов первичного передела - мазута, нафты и битумов. Реализация такого сценария должна стать подготовкой к внесению изменений в систему налогообложения отрасли.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Внешнеторговый оборот, по оценке (по методологии платежного баланса), в январе 2014 г. составил 61,1 млрд. долл. США, превысив показатель января 2013 г. на 1,0%,при этом экспорт вырос на 1,4%, импорт - на 0,2 процента. В общем объеме товарооборота в январе 2014 г. на долю экспорта приходилось 64,5%, импорта - 35,5 %. Сальдо торгового баланса составило 17,7 млрд. долл. США, по сравнению с январем 2013 г. Увеличилось на 2,8 %.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январе 2013 г. по сравнениюс предыдущим месяцем отмечалась слабовыраженная разнонаправленная динамика развития конъюнктуры мировых рынков сырьевых товаров.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небольшого увеличения нефтяных цен в декабре 2013 г. вновь наблюдалась нисходящая динамика, что во многом обусловлено дисбалансом спроса и предложения на мировом рынке в результате роста добычи в США и других странах, не входящих в ОПЕК. Вместе с тем за счет продолжающегося восстановления нефтедобычи в Ливии отмечалось расширение отгрузок со стороны государств-членов ОПЕК. Дополнительным фактором, повлиявшим на снижение цен, стало ослабление напряженности в ближневосточном регионе, где наметился компромисс большой «шестерки» по вопросу иранской ядерной программы, и не наблюдается обострений в Сирии. Кроме того, отмечается усиление позиций американского доллара относительно других валют, что также оказывает давление на мировые нефтяные цены.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январе 2014 г. нефть марки Urals снизилась относительно предыдущего месяца на 3,1% и составила 106,4долл. США за баррель, по сравнению с январем2013 г. цена на нефть уменьшилась на 4,8 процента.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Ставка экспортной пошлины на нефть, рассчитанная в соответствии с </w:t>
      </w:r>
      <w:r>
        <w:rPr>
          <w:rFonts w:ascii="Times New Roman CYR" w:hAnsi="Times New Roman CYR" w:cs="Times New Roman CYR"/>
          <w:sz w:val="28"/>
          <w:szCs w:val="28"/>
        </w:rPr>
        <w:lastRenderedPageBreak/>
        <w:t xml:space="preserve">постановлением Правительства Российской Федерации от 29.03.2013 № 276 и изменениями, внесенными в него в начале 2014 года, с 1 января 2014 г. составила 401,0 долл. США за тонну (в декабре 2013 г. - 385,7 долл. США за тонну), рост на 4,0 процента.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региональных рынках природного газа отмечалась разнонаправленная динамика. На западноевропейском рынке отмечалась слабая нисходящая динамика, что преимущественно обусловлено скромными темпами роста в реальном секторе экономики, а также увеличением предложения СПГ ввиду небольшого снижения спроса на азиатском рынке. На североамериканском рынке отмечалась положительная динамика цен ввиду значительного расширения спроса со стороны жилищно-коммунального сектора в условиях резкого похолодания на большей части территории США. На восточноазиатском рынке напротив наблюдалась разнонаправленная динамика, при этом в целом цены остались на уровне предыдущего месяца.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Средние контрактные цены на российский природный газ, по данным Международного валютного фонда, на границе Германии в январе 2014 г., снизились относительно декабря 2013 г. на 0,8% и составили 392,4долл. США за тыс.куб. м., по сравнению с январем 2013 г цена на газ снизиласьна 4,3 процента.</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Среднемесячные цены на сырьевые товары в январе 2013г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969"/>
        <w:gridCol w:w="2393"/>
        <w:gridCol w:w="3150"/>
      </w:tblGrid>
      <w:tr w:rsidR="00F66867">
        <w:tc>
          <w:tcPr>
            <w:tcW w:w="1668"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w:t>
            </w:r>
          </w:p>
        </w:tc>
        <w:tc>
          <w:tcPr>
            <w:tcW w:w="5543" w:type="dxa"/>
            <w:gridSpan w:val="2"/>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прироста</w:t>
            </w:r>
          </w:p>
        </w:tc>
      </w:tr>
      <w:tr w:rsidR="00F66867">
        <w:tc>
          <w:tcPr>
            <w:tcW w:w="1668"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 2014 г.</w:t>
            </w:r>
          </w:p>
        </w:tc>
        <w:tc>
          <w:tcPr>
            <w:tcW w:w="23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предыдущему месяцу</w:t>
            </w:r>
          </w:p>
        </w:tc>
        <w:tc>
          <w:tcPr>
            <w:tcW w:w="315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 соответствующему месяцу</w:t>
            </w:r>
          </w:p>
        </w:tc>
      </w:tr>
      <w:tr w:rsidR="00F66867">
        <w:tc>
          <w:tcPr>
            <w:tcW w:w="16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 - Urals</w:t>
            </w:r>
          </w:p>
        </w:tc>
        <w:tc>
          <w:tcPr>
            <w:tcW w:w="1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106,4 долл./барр.</w:t>
            </w:r>
          </w:p>
        </w:tc>
        <w:tc>
          <w:tcPr>
            <w:tcW w:w="23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315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F66867">
        <w:tc>
          <w:tcPr>
            <w:tcW w:w="16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Природный газ</w:t>
            </w:r>
          </w:p>
        </w:tc>
        <w:tc>
          <w:tcPr>
            <w:tcW w:w="1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392,4 долл./тыс.м3</w:t>
            </w:r>
          </w:p>
        </w:tc>
        <w:tc>
          <w:tcPr>
            <w:tcW w:w="23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315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Аргус медиа, Платс, Международный валютный фонд</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Экспорт товаров в 2013 году составил 526,4 млрд. долл. США, что на 0,3% выше уровня прошлого года. Положительная стоимостная динамика российского экспорта обусловлена ростом стоимости экспорта топливно-энергетических товаров из-за увеличения физического объема экспорта природного газа и нефтепродуктов. Вструктуре экспорта России в 2013 году увеличился удельный вестопливно-энергетических.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Экспорт - наиболее значимой группы - топливно-энергетические товары - увеличился на 0,9% до 371,8 млрд. долл. США, при этом доля данной товарной </w:t>
      </w:r>
      <w:r>
        <w:rPr>
          <w:rFonts w:ascii="Times New Roman CYR" w:hAnsi="Times New Roman CYR" w:cs="Times New Roman CYR"/>
          <w:sz w:val="28"/>
          <w:szCs w:val="28"/>
        </w:rPr>
        <w:lastRenderedPageBreak/>
        <w:t>группы выросла на 0,4 процентных пункта до 70,6 процента. Увеличение стоимости экспорта этой товарной группы произошло за счет роста физических объемов вывоза при снижении средних контрактных цен. Положительная динамика была обусловлена, прежде всего, увеличением вывоза нефтепродуктов и природного газа, стоимостные объемы экспорта которых увеличились на 5,3% и 8,8% соответственно, что стало результатом расширения физических объемов отгрузок на 9,6% и 9,9% соответственно. Наряду с этим вывоз нефти сырой в стоимостном выражении продемонстрировали отрицательную динамику - спад на 4,0% соответственно. Для экспорта нефти было характерно снижение физических объемов на 1,4% и средних контрактных цен - на 2,7.</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экспорта Российской Федерации в 2013 г. по сравнению с 2012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051"/>
        <w:gridCol w:w="969"/>
        <w:gridCol w:w="1051"/>
        <w:gridCol w:w="969"/>
        <w:gridCol w:w="1195"/>
        <w:gridCol w:w="1430"/>
        <w:gridCol w:w="795"/>
      </w:tblGrid>
      <w:tr w:rsidR="00F66867">
        <w:tc>
          <w:tcPr>
            <w:tcW w:w="19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товара</w:t>
            </w:r>
          </w:p>
        </w:tc>
        <w:tc>
          <w:tcPr>
            <w:tcW w:w="2020" w:type="dxa"/>
            <w:gridSpan w:val="2"/>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Январь-декабрь 2012 г.</w:t>
            </w:r>
          </w:p>
        </w:tc>
        <w:tc>
          <w:tcPr>
            <w:tcW w:w="2020" w:type="dxa"/>
            <w:gridSpan w:val="2"/>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Январь-декабрь 2013 г.</w:t>
            </w:r>
          </w:p>
        </w:tc>
        <w:tc>
          <w:tcPr>
            <w:tcW w:w="3420" w:type="dxa"/>
            <w:gridSpan w:val="3"/>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роста в %</w:t>
            </w:r>
          </w:p>
        </w:tc>
      </w:tr>
      <w:tr w:rsidR="00F66867">
        <w:tc>
          <w:tcPr>
            <w:tcW w:w="1951"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млн.долл.</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млн.долл.</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итогу</w:t>
            </w:r>
          </w:p>
        </w:tc>
        <w:tc>
          <w:tcPr>
            <w:tcW w:w="11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стоимости</w:t>
            </w:r>
          </w:p>
        </w:tc>
        <w:tc>
          <w:tcPr>
            <w:tcW w:w="143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физического объема</w:t>
            </w:r>
          </w:p>
        </w:tc>
        <w:tc>
          <w:tcPr>
            <w:tcW w:w="7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цены</w:t>
            </w:r>
          </w:p>
        </w:tc>
      </w:tr>
      <w:tr w:rsidR="00F66867">
        <w:tc>
          <w:tcPr>
            <w:tcW w:w="19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Топливно-энергетические товары</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368 360</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70,2</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371 792</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c>
          <w:tcPr>
            <w:tcW w:w="11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c>
          <w:tcPr>
            <w:tcW w:w="143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105,5</w:t>
            </w:r>
          </w:p>
        </w:tc>
        <w:tc>
          <w:tcPr>
            <w:tcW w:w="7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r w:rsidR="00F66867">
        <w:tc>
          <w:tcPr>
            <w:tcW w:w="19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 сырая</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180 930</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173 668</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1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43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7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w:t>
            </w:r>
          </w:p>
        </w:tc>
      </w:tr>
      <w:tr w:rsidR="00F66867">
        <w:tc>
          <w:tcPr>
            <w:tcW w:w="19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Нефтепродукты</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103 624</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109 168</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11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w:t>
            </w:r>
          </w:p>
        </w:tc>
        <w:tc>
          <w:tcPr>
            <w:tcW w:w="143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7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w:t>
            </w:r>
          </w:p>
        </w:tc>
      </w:tr>
      <w:tr w:rsidR="00F66867">
        <w:tc>
          <w:tcPr>
            <w:tcW w:w="19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Газ природный</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61 768</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0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67 232</w:t>
            </w:r>
          </w:p>
        </w:tc>
        <w:tc>
          <w:tcPr>
            <w:tcW w:w="96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1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43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w:t>
            </w:r>
          </w:p>
        </w:tc>
        <w:tc>
          <w:tcPr>
            <w:tcW w:w="7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Министерства экономического развития</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 производства нефтепродуктов в январе 2014 года по сравнению с январем 2013 года составил 103,0 процента.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январе 2014 года на российские НПЗ поступило на переработку 24,6 млн. т нефтяного сырья (104,4% к январю 2013 года). При этом производство автомобильного бензина составило 3,4 млн. т (99,0%), дизельного топлива - до </w:t>
      </w:r>
      <w:r>
        <w:rPr>
          <w:rFonts w:ascii="Times New Roman CYR" w:hAnsi="Times New Roman CYR" w:cs="Times New Roman CYR"/>
          <w:sz w:val="28"/>
          <w:szCs w:val="28"/>
        </w:rPr>
        <w:lastRenderedPageBreak/>
        <w:t>6,5 млн. т (104,2%) и топочного мазута.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Предполагалось, что с введением системы «60-66» осенью 2011 года малая нефтепереработка станет нерентабельной, тем не менее, сегмент переживает бум. Загрузка российских мини-НПЗ продолжает расти из месяца в месяц, что указывает на высокую доходность их работы ( рис. 2.6). </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7185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857500"/>
                    </a:xfrm>
                    <a:prstGeom prst="rect">
                      <a:avLst/>
                    </a:prstGeom>
                    <a:noFill/>
                    <a:ln>
                      <a:noFill/>
                    </a:ln>
                  </pic:spPr>
                </pic:pic>
              </a:graphicData>
            </a:graphic>
          </wp:inline>
        </w:drawing>
      </w: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59150" cy="2851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9150" cy="28511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Источник: данные сайта http://www.benzol.ru</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Динамика объемов нефти, поступивших на переработку (в %)</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динамика связана с тем, что, несмотря на повышение средних пошлин на нефтепродукты с уровня 55% до 66% от пошлин на нефть, при достаточно высоких ценах (в 2012 г. средняя цена «Юралс» составила 110,5 долл./ барр.) первичная переработка остается выгодней экспорта нефти. Таким образом, сокращения первичной переработки и объёмов производства тёмных нефтепродуктов, на которые была нацелена система «60-66», не произошло.</w:t>
      </w: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86300" cy="25273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52730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по данным «Энергетического центра Московской школы управления»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2.7 Оптовые цены нефтепродуктов на внутреннем рынке</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пошлин на мазут до уровня пошлин на нефть в 2015 г. при одновременной индексации регулируемых цен на газ для промышленных потребителей приведет к тому, что в 2015-2016 гг. между ними может возникнуть межтопливная конкуренция в секторе электро- и теплоснабжения. Это позволит </w:t>
      </w:r>
      <w:r>
        <w:rPr>
          <w:rFonts w:ascii="Times New Roman CYR" w:hAnsi="Times New Roman CYR" w:cs="Times New Roman CYR"/>
          <w:sz w:val="28"/>
          <w:szCs w:val="28"/>
        </w:rPr>
        <w:lastRenderedPageBreak/>
        <w:t>замедлить рост тарифов на газ и электроэнергию для потребителей.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задачи поддержания уровня добычи нефтяного сырья на стабильном уровне, а также развития шельфовой добычи, в ближайшие годы предусматривается либерализация налогового режима для реализации новых проектов по освоению морских месторождений нефти через введение беспошлинного режима их экспорта. Будет сохранен в течение всего прогнозируемого периода льготныйрежим в размере 10% от действующей ставки на нефть при налогообложении нефти с вязкостью в пластовых условиях не менее 10000 мПа•с. С момента предполагаемого запуска в 2016 году проектапо освоению газовых месторожденийполуострова Ямал будет практически реализован режим беспошлинного экспорта сжиженного природного газа с возможностью применения схожих мер регулирования для других регионов. </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Влияние тарифных мер на экспорт нефтепродуктов</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Таможенное регулирование в Российской Федерации в соответствии с таможенным законодательством Таможенного союза и законодательством Российской Федерации заключается в установлении порядка и правил регулирования таможенного дела в Российской Федерации. Таможенное дело в Российской Федерации представляет собой совокупность средств и методов обеспечения соблюдения мер таможенно-тарифного регулирования, а также запретов и ограничений при ввозе товаров в Российскую Федерацию и вывозе товаров из Российской Федерации.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Российской Федерации применяются меры таможенно-тарифного регулирования, запреты и ограничения, затрагивающие внешнюю торговлю товарами, предусмотренные международными договорами, составляющими </w:t>
      </w:r>
      <w:r>
        <w:rPr>
          <w:rFonts w:ascii="Times New Roman CYR" w:hAnsi="Times New Roman CYR" w:cs="Times New Roman CYR"/>
          <w:sz w:val="28"/>
          <w:szCs w:val="28"/>
        </w:rPr>
        <w:lastRenderedPageBreak/>
        <w:t xml:space="preserve">договорно-правовую базу Таможенного союза, и принимаемыми в соответствии с указанными договорами актами органов Таможенного союза.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государственном регулировании внешней торговли России используются все общепринятые в мировой практике методы и инструменты таможенно-тарифного регулирования. Основным элементом механизма тарифного регулирования служит таможенный тариф, который представляет собой систематизированный перечень ставок, определяющих размер платы по импортным и экспортным товарам, т.е. таможенные пошлины.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тарифы имеют все страны мира. Современные тарифы унифицированы на базе Гармонизированной системы описания и кодирования товаров, что облегчает пользование тарифами на разных языках и сопоставление ставок пошлин на одинаковые товары. Тариф, используемый на территории Российской Федерации, являет собой образец договорного, или конвенционного, тарифа, так как он устанавливается по взаимному соглашению государств. Антиподом ему выступает автономный тариф, определяемый государством самостоятельно.</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таможенного тарифа: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Протекционизм - защита отечественных товаров от иностранной конкуренции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Фискальная - пополнение госбюджета.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имеет фискальная функция, поскольку таможенные пошлины в России составляют одну из важнейших статей доходной части федерального бюджета.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Фискальная функция таможенного тарифа является наиболее актуальной для России, и если в развитых странах доходы от таможенных платежей составляют небольшую долю поступлений в государственный бюджет </w:t>
      </w:r>
      <w:r>
        <w:rPr>
          <w:rFonts w:ascii="Times New Roman CYR" w:hAnsi="Times New Roman CYR" w:cs="Times New Roman CYR"/>
          <w:sz w:val="28"/>
          <w:szCs w:val="28"/>
        </w:rPr>
        <w:lastRenderedPageBreak/>
        <w:t>(например, в США - не более 1,5%), то в российском бюджете - до 40-50% его доходной части. В соответствии с требованиями развития мирового хозяйства и ВТО назрела необходимость снижения средней ставки таможенного тарифа, поэтому необходимы поиски новых подходов к исследованию таможенно-тарифных отношений, переориентации таможенного тарифа с выполнения фискальной функции на регулирующую, а в определенной степени и протекционистскую, поскольку она выполняет роль защиты национального производителя.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таможенного тарифа, содержащего оптимальные ставки таможенных пошлин, обладает рядом достоинств. Так, если страна может оказывать влияние на мировые цены, оптимальный уровень ставки таможенной пошлины может принести ей существенный выигрыш. Известный экономист П.Х. Линдерт отмечает, что таможенный тариф "всегда выгоден производителям товаров, конкурирующих с импортом, даже если совокупное благосостояние нации при этом снижается". В любом случае введение тарифа - всегда лучший вариант по сравнению с экономической пассивностью.</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Таможенная пошлина - обязательный взнос, взимаемый таможенными органами РФ при ввозе товара на таможенную территорию РФ или вывозе товара с этой территории и являющийся неотъемлемым условием такого ввоза или вывоза.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Таможенная пошлина носит характер косвенного налога. Назначение таможенной пошлины двояко, во-первых, Таможенная пошлина может рассматриваться как источник пополнения государственного бюджета, поскольку в соответствии со ст. 19 Закона РФ «Об основах налоговой системы Российской Федерации» отнесена к федеральным налогам а, во-вторых, как способ регулирования ввоза товаров на таможенную территорию РФ и вывоза за </w:t>
      </w:r>
      <w:r>
        <w:rPr>
          <w:rFonts w:ascii="Times New Roman CYR" w:hAnsi="Times New Roman CYR" w:cs="Times New Roman CYR"/>
          <w:sz w:val="28"/>
          <w:szCs w:val="28"/>
        </w:rPr>
        <w:lastRenderedPageBreak/>
        <w:t>ее пределы (с целью защиты российских производителей товаров и обеспечения внутреннего рынка необходимой продукцией).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действуют:</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Ввозной (импортный) тариф и ввозные (импортные) пошлины.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взимаемой ввозной пошлины зависит от страны происхождения товара и от торгового режима, предоставленного той или иной страной. Внешнеторговые режимы устанавливаются на основе двусторонних торговых договоров и соглашений.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Базовая ставка ввозной пошлины применяется к странам, с которыми заключены торговые договора и соглашения, предусматривающие режимы наибольшего благоприятствования. Россия предоставляет по спискам ООН преференции во взимании пошлин развивающимся странам (уменьшенный размер пошлин) и наименее развитым странам (беспошлинный ввоз товаров). Товары из стран, с которыми нет торговых соглашений, облагаются пошлиной в двойном размере.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Вывозные (экспортные) таможенные пошлины.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взимании вывозных пошлин преобладают специфические пошлины, исчисляемые в евро за единицу продукции. Вывозные пошлины в России связаны со следующими обстоятельствами: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Пополнением доходной части бюджета;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Защитой внутреннего рынка, где рублевые цены на многие экспортные товары намного ниже, чем мировые цены в свободно конвертируемой валюте.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Вывозные пошлины распространяются на всех партнеров по внешней торговли.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Таможенная пошлина отвечает основным налоговым характеристикам:</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уплата таможенной пошлины носит обязательный характер 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обеспечивает государственно-властным принуждением;</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таможенная пошлина не представляет собой плату за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предоставленные услуги и взыскивается без встречного удовлетворения;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поступления от таможенных пошлин не могут предназначаться для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покрытия конкретных государственных расходов (принцип запрета специализации налога).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тарифов можно воздействовать на формирование активного сальдо внешнеторгового баланса, на увеличение притока валюты, а также на развитие отдельных регионов страны. Функции тарифного регулирования реализуются в тесной взаимосвязи с налоговой системой, которая частично берет на себя элемент тарифа и дополняет его.</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Таможенный тариф по своему содержанию имеет экономический характер, предпочтение которому отдается в условиях рыночной экономики, предполагающей объективное установление соотношения внутренних и мировых цен, реального валютного курса. В условиях дефицитной экономики таможенный тариф теряет свою эффективность и подменяется более жесткими методами нетарифного характера. Следует отметить, что в российском таможенном тарифе не встречаются так называемые мегатарифы, т.е. тарифы, ставки которых превышают 100%.</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нефтяного комплекса доминирует в российском экспорте и играет определяющую роль в формировании бюджетных доходов. В 2010 г. поступления от добычи и экспорта нефти и нефтепродуктов составляли 92% нефтегазовых доходов и 43% суммарных доходов федерального бюджета. В середине 1990-х годов российская нефтедобыча пережила резкий спад (пик снижения пришелся на 1996 г.), однако в последующие 14 лет ее объемы росли и в 2010 г. вышли на уровень 98% показателя 1990 г.</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15557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15557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2.8 Добыча нефти в России (млн. т.)</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прогнозами МЭР период быстрого восстановительного роста нефтедобычи в России закончился, и до 2030 г. производство будет стагнировать. В таблице 2.3 представлены данные о добыче и экспорте нефти за последнее десятилетие.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2.3 следует, что доля экспорта в объеме производства нефти устойчиво росла с 2001 по 2004 г., но затем стала снижаться и стабилизировалась на уровне около 50%. С середины «нулевых» годов экспорт нефти стал замещаться экспортом нефтепродуктов.</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и экспорт сырой нефти в Российской Федерации (млн. т.)</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260"/>
        <w:gridCol w:w="1183"/>
        <w:gridCol w:w="2268"/>
      </w:tblGrid>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в % к добыче</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164,5</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49,9</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160,3</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252,5</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481</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248,4</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258,6</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243,1</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247,5</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250,7</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244,5</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w:t>
            </w:r>
          </w:p>
        </w:tc>
      </w:tr>
      <w:tr w:rsidR="00F66867">
        <w:tc>
          <w:tcPr>
            <w:tcW w:w="8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2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w:t>
            </w:r>
          </w:p>
        </w:tc>
        <w:tc>
          <w:tcPr>
            <w:tcW w:w="11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236,6</w:t>
            </w:r>
          </w:p>
        </w:tc>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Банка России, расчеты автора.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2.4 видно, что в 2005 г. резко возросла доля нефтепродуктов, идущих на экспорт; одновременно сократилась доля экспортируемой нефти. В 2006-2010 гг. доля экспорта в производстве нефтепродуктов монотонно повышалась. В структуре выпуска нефтепродуктов производство мазута и соответственно глубина переработки в предыдущем десятилетии оставались практически на неизменном уровне; можно сказать, что модернизация производства в отрасли не проводилась. Одновременно опережающими темпами рос экспорт мазута: в последние три года прошедшего десятилетия экспортировалось 90% и более производимого мазута.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Первичная переработка нефти и экспорт нефтепродуктов (млн.т.)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
        <w:gridCol w:w="1620"/>
        <w:gridCol w:w="1403"/>
        <w:gridCol w:w="1045"/>
        <w:gridCol w:w="1606"/>
        <w:gridCol w:w="946"/>
        <w:gridCol w:w="1492"/>
      </w:tblGrid>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Первичная переработка нефти</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Глубина переработки</w:t>
            </w:r>
          </w:p>
        </w:tc>
        <w:tc>
          <w:tcPr>
            <w:tcW w:w="2651" w:type="dxa"/>
            <w:gridSpan w:val="2"/>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нефтепродуктов</w:t>
            </w:r>
          </w:p>
        </w:tc>
        <w:tc>
          <w:tcPr>
            <w:tcW w:w="2438" w:type="dxa"/>
            <w:gridSpan w:val="2"/>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мазута</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620"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403"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т.</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производству</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млн. т.</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производству</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103,5</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74,0</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124,5</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53,5</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132,1</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w:t>
            </w:r>
          </w:p>
        </w:tc>
      </w:tr>
      <w:tr w:rsidR="00F66867">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62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w:t>
            </w:r>
          </w:p>
        </w:tc>
        <w:tc>
          <w:tcPr>
            <w:tcW w:w="140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10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138,2</w:t>
            </w:r>
          </w:p>
        </w:tc>
        <w:tc>
          <w:tcPr>
            <w:tcW w:w="16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w:t>
            </w:r>
          </w:p>
        </w:tc>
        <w:tc>
          <w:tcPr>
            <w:tcW w:w="9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149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Банка России и таможенной статистики</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Абсолютное и относительное сокращение экспорта нефти в середине 2000-х годов при росте нефтедобычи и одновременном резком увеличении экспорта нефтепродуктов связано с особенностями налогообложения в нефтяном комплексе, как и отсутствие модернизации в нефтепереработке и бурный рост экспорта мазута. Речь идет о соотношении вывозных пошлин на экспорт нефти и нефтепродуктов, а также пошлин на светлые нефтепродукты и мазут.</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прошедшее десятилетие решения в области установления соотношения между экспортными пошлинами на нефть и нефтепродукты пересматривались очень быстро. На рисунке 2.9 видно, что со II квартала 2001 до февраля 2003 г. экспортная пошлина на светлые нефтепродукты была выше, чем на нефть. В таких условиях экспортировать нефтепродукты невыгодно. В период с февраля 2003 по апрель 2005 г. пошлины на светлые и темные нефтепродукты устанавливались на одном уровне, но более низком, чем пошлина на нефть.</w:t>
      </w: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56200" cy="19050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6200" cy="190500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база данных БД «Консультает»</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2.9 Соотношение между пошлинами на нефть и нефтепродукты</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в области экспортных пошлин не замедлила сказаться на объеме нефтепереработки: он снизился до 180 - 185 млн т в 2001 - 2002 гг. и приблизился к объему внутренней потребности в нефтепродуктах. С 2005 по 2010 г. был установлен налоговый режим, при котором соотношение вывозной пошлины на светлые нефтепродукты и на нефть составляло около 70%, а аналогичное соотношение для мазута - 40%. Таким образом, были созданы мощные стимулы для максимально возможного расширения производства продуктов нефтепереработки на существующих мощностях. Одновременно такой налоговый режим способствовал консервации технического уровня в отрасли. Во многом вследствие искусственного стимулирования расширения нефтепереработки, включая производство мазута, глубина переработки нефти в 2001 г, примерно соответствовала показателю 2010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 налогообложении нефти и нефтепродуктов влияют на абсолютную и относительную эффективность их экспорта. В свою очередь, показатели сравнительной эффективности определяют соотношение экспорта нефти и нефтепродуктов. Рассчитаем количественные показатели удельной (на </w:t>
      </w:r>
      <w:r>
        <w:rPr>
          <w:rFonts w:ascii="Times New Roman CYR" w:hAnsi="Times New Roman CYR" w:cs="Times New Roman CYR"/>
          <w:sz w:val="28"/>
          <w:szCs w:val="28"/>
        </w:rPr>
        <w:lastRenderedPageBreak/>
        <w:t>тонну) эффективности их экспорта за последнее десятилетие.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этих показателей мы использовали поквартальные данные Росстата о себестоимости нефти и нефтепродуктов, об отпускных ценах на эти товары за 2001-2010 гг., оценку современных расходов на транспортировку нефти и нефтепродуктов на экспорт из «Генеральной схемы развития нефтяной отрасли РФ на период до 2020 года» и индексы изменения стоимости услуг трубопроводного транспорта Росстата за 2001-2010 гг., данные Минфина РФ о величине экспортной пошлины и данные таможенной статистики об экспортных ценах на нефть и нефтепродукты.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располагали поквартальными данными Росстата о себестоимости нефти и нефтепродуктов только с IV квартала 2007 г., но имеются годовые данные об отпускных ценах нефтедобывающих и нефтеперерабатывающих предприятий за 2001-2010 гг. На основе данных о себестоимости нефти и нефтепродуктов за 2008-2010 гг. и об отпускных ценах за этот период были рассчитаны показатели рентабельности за три года. На их базе мы экспертно оценили рентабельность производства нефти и нефтепродуктов в 2001-2007 гг. Эти оценки были использованы для определения показателей себестоимости в 2001-2007 гг., необходимых для расчета эффективности экспорта нефти и нефтепродуктов. Полученные оценки вместе с данными Росстата представлены в таблице 2.5 и на рисунке 2.10.</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оптовых цен и себестоимости тонны нефти и нефтепродуктов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726"/>
        <w:gridCol w:w="724"/>
        <w:gridCol w:w="843"/>
        <w:gridCol w:w="684"/>
        <w:gridCol w:w="767"/>
        <w:gridCol w:w="767"/>
        <w:gridCol w:w="767"/>
        <w:gridCol w:w="767"/>
        <w:gridCol w:w="846"/>
        <w:gridCol w:w="890"/>
      </w:tblGrid>
      <w:tr w:rsidR="00F66867">
        <w:tc>
          <w:tcPr>
            <w:tcW w:w="1809"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72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2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68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Цена </w:t>
            </w:r>
            <w:r>
              <w:rPr>
                <w:rFonts w:ascii="Times New Roman CYR" w:hAnsi="Times New Roman CYR" w:cs="Times New Roman CYR"/>
                <w:sz w:val="20"/>
                <w:szCs w:val="20"/>
              </w:rPr>
              <w:lastRenderedPageBreak/>
              <w:t>производителя</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1 592</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1 637</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1 903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2 655</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4 374</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5 278</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5 503</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6 919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5 467</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6 634</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Себестоимость</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1 433</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1 473</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1 712</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2 389</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3 936</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4 750</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4 953</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6 042</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5 221</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6 120</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72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2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68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производителя</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4 442</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5 592</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7 230</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8 332</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9 892</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10 900</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13 583</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12 644</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14 327</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3 150</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3 109</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3 914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5 061</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5 833</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6 924</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7 630</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9 747</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11 028</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9 100</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72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2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68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производителя</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5 366</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4 666</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5 914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7 728</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11 006</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12 032</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12 060</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16 553</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11 559</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13 324</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3 220</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2 800</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3 549</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4 637</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6 604</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7 219</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7 236</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9 747</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10 655</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8 097</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72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2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3"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684"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4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производителя</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1 692</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1 936</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2 269</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2 269</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3 464</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4 754</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4 842</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7 133</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6 544</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7 484</w:t>
            </w:r>
          </w:p>
        </w:tc>
      </w:tr>
      <w:tr w:rsidR="00F66867">
        <w:tc>
          <w:tcPr>
            <w:tcW w:w="18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7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1 405</w:t>
            </w:r>
          </w:p>
        </w:tc>
        <w:tc>
          <w:tcPr>
            <w:tcW w:w="72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1 607</w:t>
            </w:r>
          </w:p>
        </w:tc>
        <w:tc>
          <w:tcPr>
            <w:tcW w:w="84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1 883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1 883</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2 875</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3 946</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4 019</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6 689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5 796</w:t>
            </w:r>
          </w:p>
        </w:tc>
        <w:tc>
          <w:tcPr>
            <w:tcW w:w="89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5 052</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нефтедобычи, рассчитанная на основе соотношения внутренних цен производителей и показателей себестоимости, в 2008 г. составляла 13%, в 2009 г. сократилась до 4,5 и в 2010 г. возросла до 8%. На период 2001-2007 гг., в целях расчета себестоимости, она была экспертно оценена на уровне 10%. Для бензина рассчитанный аналогичным образом показатель рентабельности в 2008 г. составлял 29%, в 2009 г. он снизился до 13 и в 2010 г. вырос до 37%. На период 2001-2007 гг. этот показатель был принят на уровне 30%. Для дизельного топлива рентабельность в 2008 г. составляла 41%, в 2009 г. - 8 и в 2010 г. - 40%. На период 2001-2007 гг. расчетная рентабельность была принята на уровне 40%. Наконец, при производстве топочного мазута в 2008 г. рентабельность составляла 6,3%, в 2009 г. - 11,5 и в 2010 г. - 33%. Отметим, что при производстве нефти и светлых нефтепродуктов в кризисном 2009 г. производители были вынуждены снизить рентабельность, но уже в 2010 г. она резко выросла.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16404D">
        <w:rPr>
          <w:rFonts w:ascii="Microsoft Sans Serif" w:hAnsi="Microsoft Sans Serif" w:cs="Microsoft Sans Serif"/>
          <w:noProof/>
          <w:sz w:val="17"/>
          <w:szCs w:val="17"/>
        </w:rPr>
        <w:lastRenderedPageBreak/>
        <w:drawing>
          <wp:inline distT="0" distB="0" distL="0" distR="0">
            <wp:extent cx="5124450" cy="1771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17716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2.10 Себестоимость тонны нефти и нефтепродуктов (тыс. руб)</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данных на рисунке 2.10, за прошедшее десятилетие в текущих ценах себестоимость нефти и мазута выросла более чем в 4 раза, себестоимость бензина - в 3,2, себестоимость дизельного топлива - в 2,5 раза. В значительной степени это связано с ростом мировых цен на нефть (в 2010 г. НДПИ на нефть составлял 50% себестоимости нефти).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себестоимости нефти и нефтепродуктов в неизменных ценах 2001 г. выглядит весьма умеренной.</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тонны нефти и нефтепродуктов в ценах 2001 г.(руб)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6"/>
        <w:gridCol w:w="846"/>
        <w:gridCol w:w="846"/>
        <w:gridCol w:w="846"/>
        <w:gridCol w:w="845"/>
        <w:gridCol w:w="845"/>
        <w:gridCol w:w="845"/>
        <w:gridCol w:w="845"/>
        <w:gridCol w:w="845"/>
        <w:gridCol w:w="846"/>
        <w:gridCol w:w="846"/>
      </w:tblGrid>
      <w:tr w:rsidR="00F66867">
        <w:tc>
          <w:tcPr>
            <w:tcW w:w="11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 имость</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66867">
        <w:tc>
          <w:tcPr>
            <w:tcW w:w="11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1 469,0</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1 283,0</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1 325,7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1 436,2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2 086,4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2 280,8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1 900,7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2 569,6</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1 782,5</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1 853,6</w:t>
            </w:r>
          </w:p>
        </w:tc>
      </w:tr>
      <w:tr w:rsidR="00F66867">
        <w:tc>
          <w:tcPr>
            <w:tcW w:w="11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2 858,0</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2 397,1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2 682,2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2 692,6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2 736,6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2 942,7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2 591,9</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3 473,1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2 838,5</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2 756,0</w:t>
            </w:r>
          </w:p>
        </w:tc>
      </w:tr>
      <w:tr w:rsidR="00F66867">
        <w:tc>
          <w:tcPr>
            <w:tcW w:w="11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3 260,9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2 409,1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2 714,3</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2 753,6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3 458,1</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3 424,4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2 743,7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4 049,3</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2 482,5</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2 452,1</w:t>
            </w:r>
          </w:p>
        </w:tc>
      </w:tr>
      <w:tr w:rsidR="00F66867">
        <w:tc>
          <w:tcPr>
            <w:tcW w:w="11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1 142,0</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1 109,7</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1 156,0</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897,8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1 208,6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1 502,4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1 223,3</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1 937,6</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1 560,6</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1 529,9</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В качестве дефлятора использован индекс цен производителей промышленных товаров по РФ</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видно из данных таблицы 2.6, за десять лет в неизменных ценах себестоимость нефти выросла на 26%, бензина - сократилась на 3,6, а дизельного топлива - на 25%. Относиться к этим данным следует с осторожностью. Рост себестоимости производства нефти можно объяснить увеличением степени выработанности месторождений. Сокращение себестоимости производства моторного топлива, на наш взгляд, не связано с повышением технологического уровня производства. Положительно сказалось на снижении себестоимости повышение коэффициента загрузки производственных мощностей.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Экспортные цены на нефть и нефтепродукты обычно приводят в долларах США. В настоящей работе эти цены приведены в рублях для сопоставления с себестоимостью и другими экспортными затратами.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данными таблицы 2.7, экспортные цены на нефть в рублях в 2001-2010 гг. выросли в 3,7 раза, при этом номинальный обменный курс повысился всего на 4%; таким образом, мировые цены на нефть выросли за десятилетний период в 3,6 раза. Экспортные цены на бензин и дизельное топливо росли медленнее, соответственно в 3,2 и 3,3 раза, зато цены на мазут выросли в 4,8 раза. Отметим, что темпы роста себестоимости сырой нефти в последнее десятилетие опережали темпы роста мировых цен на нефть: в сочетании с реальным укреплением рубля это стало фактором снижения эффективности нефтяного экспорта. Себестоимость производства нефтепродуктов за тот же период, напротив, росла медленнее экспортных цен, что способствовало росту эффективности экспортных продаж.</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Экспортные цены на тонну нефти и нефтепродуктов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59"/>
        <w:gridCol w:w="799"/>
        <w:gridCol w:w="799"/>
        <w:gridCol w:w="799"/>
        <w:gridCol w:w="799"/>
        <w:gridCol w:w="835"/>
        <w:gridCol w:w="835"/>
        <w:gridCol w:w="835"/>
        <w:gridCol w:w="835"/>
        <w:gridCol w:w="836"/>
        <w:gridCol w:w="836"/>
      </w:tblGrid>
      <w:tr w:rsidR="00F66867">
        <w:tc>
          <w:tcPr>
            <w:tcW w:w="125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Экспортные </w:t>
            </w:r>
            <w:r>
              <w:rPr>
                <w:rFonts w:ascii="Times New Roman CYR" w:hAnsi="Times New Roman CYR" w:cs="Times New Roman CYR"/>
                <w:sz w:val="20"/>
                <w:szCs w:val="20"/>
              </w:rPr>
              <w:lastRenderedPageBreak/>
              <w:t>цены</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2001</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66867">
        <w:tc>
          <w:tcPr>
            <w:tcW w:w="125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Нефть</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4 431</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4 822</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5 332</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6 520</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9 480</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11 190</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12 015</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16 447</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12 875</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16 558</w:t>
            </w:r>
          </w:p>
        </w:tc>
      </w:tr>
      <w:tr w:rsidR="00F66867">
        <w:tc>
          <w:tcPr>
            <w:tcW w:w="125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5 863</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5 599</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7 004</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9 176</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12 005</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14 745</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14 631</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17 776</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13 211</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18 671</w:t>
            </w:r>
          </w:p>
        </w:tc>
      </w:tr>
      <w:tr w:rsidR="00F66867">
        <w:tc>
          <w:tcPr>
            <w:tcW w:w="125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5 735</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5 756</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6 836</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9 182</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13 750</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15 180</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15 337</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22 344</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14 896</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19 206</w:t>
            </w:r>
          </w:p>
        </w:tc>
      </w:tr>
      <w:tr w:rsidR="00F66867">
        <w:tc>
          <w:tcPr>
            <w:tcW w:w="125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2 757</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3 474</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3 976</w:t>
            </w:r>
          </w:p>
        </w:tc>
        <w:tc>
          <w:tcPr>
            <w:tcW w:w="79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4 042</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6 360</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7 822</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8 392</w:t>
            </w:r>
          </w:p>
        </w:tc>
        <w:tc>
          <w:tcPr>
            <w:tcW w:w="8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12 400</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9 948</w:t>
            </w:r>
          </w:p>
        </w:tc>
        <w:tc>
          <w:tcPr>
            <w:tcW w:w="8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13 188</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рисунках 2.11 и 2.12 представлена динамика ставок вывозных пошлин на нефть и нефтепродукты, транспортных расходов на экспорт тонны нефти и нефтепродуктов за десятилетний период. Динамика экспортных пошлин в 2001-2010 гг. соответствовала динамике мировых экспортных цен. Рост тарифов на транспортировку нефти и нефтепродуктов на экспорт опережал рост и себестоимости нефти и нефтепродуктов, и мировых цен; тарифы на транспортировку нефти и нефтепродуктов за десять лет выросли более чем в 8 раз.</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27400" cy="19494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400" cy="19494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и Минфина РФ</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Рис. 2.11 Экспортные пошлины (руб.)</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86100" cy="18605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8605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и Минфина РФ</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2.12 Транспортные расходы (руб.)</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Удельные показатели эффективности экспорта нефти и нефтепродуктов в настоящей работе рассчитаны по формуле: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Р - С - Т - ЕТАХ,</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Е - удельная расчетная эффективность экспорта нефти и нефтепродуктов;</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 - экспортная цена;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 полная себестоимость нефти и нефтепродуктов, включающая НДПИ и ряд других налогов;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ЕТАХ - экспортная пошлина на экспорт нефти и нефтепродуктов;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транспортные расходы на экспорт нефти и нефтепродуктов. Расчет эффективности экспорта нефти и нефтепродуктов в текущих ценах представлен на рисунке 2.13 и в таблице 2.8.</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19700" cy="16319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6319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2.13 Расчетная прибыль от экспорта тонны нефти и нефтепродуктов (руб.)</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эффективность экспорта тонны нефти и нефтепродуктов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5"/>
        <w:gridCol w:w="695"/>
        <w:gridCol w:w="762"/>
        <w:gridCol w:w="762"/>
        <w:gridCol w:w="762"/>
        <w:gridCol w:w="762"/>
        <w:gridCol w:w="762"/>
        <w:gridCol w:w="762"/>
        <w:gridCol w:w="762"/>
        <w:gridCol w:w="865"/>
        <w:gridCol w:w="825"/>
      </w:tblGrid>
      <w:tr w:rsidR="00F66867">
        <w:tc>
          <w:tcPr>
            <w:tcW w:w="171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Расчетные доходы от экспорта</w:t>
            </w:r>
          </w:p>
        </w:tc>
        <w:tc>
          <w:tcPr>
            <w:tcW w:w="6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6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66867">
        <w:tc>
          <w:tcPr>
            <w:tcW w:w="171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6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1 951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2 327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2 215</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2 169</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1 196</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w:t>
            </w:r>
          </w:p>
        </w:tc>
        <w:tc>
          <w:tcPr>
            <w:tcW w:w="86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w:t>
            </w:r>
          </w:p>
        </w:tc>
        <w:tc>
          <w:tcPr>
            <w:tcW w:w="8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w:t>
            </w:r>
          </w:p>
        </w:tc>
      </w:tr>
      <w:tr w:rsidR="00F66867">
        <w:tc>
          <w:tcPr>
            <w:tcW w:w="171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6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1 327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1 474</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2 171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2 445</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1 797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86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-3 951</w:t>
            </w:r>
          </w:p>
        </w:tc>
        <w:tc>
          <w:tcPr>
            <w:tcW w:w="8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1 318</w:t>
            </w:r>
          </w:p>
        </w:tc>
      </w:tr>
      <w:tr w:rsidR="00F66867">
        <w:tc>
          <w:tcPr>
            <w:tcW w:w="171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6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1 129</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1 274</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1 671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2 601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3 419</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2 891</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2 896</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4 758</w:t>
            </w:r>
          </w:p>
        </w:tc>
        <w:tc>
          <w:tcPr>
            <w:tcW w:w="86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-1 892</w:t>
            </w:r>
          </w:p>
        </w:tc>
        <w:tc>
          <w:tcPr>
            <w:tcW w:w="8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2 856</w:t>
            </w:r>
          </w:p>
        </w:tc>
      </w:tr>
      <w:tr w:rsidR="00F66867">
        <w:tc>
          <w:tcPr>
            <w:tcW w:w="171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6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749</w:t>
            </w:r>
          </w:p>
        </w:tc>
        <w:tc>
          <w:tcPr>
            <w:tcW w:w="86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8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2 637</w:t>
            </w:r>
          </w:p>
        </w:tc>
      </w:tr>
      <w:tr w:rsidR="00F66867">
        <w:tc>
          <w:tcPr>
            <w:tcW w:w="171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Набор нефтепродуктов</w:t>
            </w:r>
          </w:p>
        </w:tc>
        <w:tc>
          <w:tcPr>
            <w:tcW w:w="69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1 128</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1 767</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1 549</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1 679</w:t>
            </w:r>
          </w:p>
        </w:tc>
        <w:tc>
          <w:tcPr>
            <w:tcW w:w="76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2 143</w:t>
            </w:r>
          </w:p>
        </w:tc>
        <w:tc>
          <w:tcPr>
            <w:tcW w:w="86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w:t>
            </w:r>
          </w:p>
        </w:tc>
        <w:tc>
          <w:tcPr>
            <w:tcW w:w="8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2 680</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 расчеты автора. При расчете прибыли от продажи набора нефтепродуктов использована структура экспорта нефтепродуктов соответствующего года.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следует из представленной выше формулы, эффективность экспорта нефти и нефтепродуктов зависит от уровня экспортных цен, себестоимости добычи, включая НДПИ, затрат на транспорт и экспортной пошлины. В соответствии с данными таблицы 6 эффективность экспортных продаж нефти в 2001-2010 гг. снижалась. Это обусловлено опережающим ростом себестоимости </w:t>
      </w:r>
      <w:r>
        <w:rPr>
          <w:rFonts w:ascii="Times New Roman CYR" w:hAnsi="Times New Roman CYR" w:cs="Times New Roman CYR"/>
          <w:sz w:val="28"/>
          <w:szCs w:val="28"/>
        </w:rPr>
        <w:lastRenderedPageBreak/>
        <w:t>добычи нефти и расходов на транспорт по сравнению с ростом экспортных цен. Резкое сокращение эффективности экспортных продаж нефти в 2006 и 2008 гг. вызвано скачкообразной динамикой ее себестоимости в эти годы. Отрицательная эффективность экспорта нефтепродуктов в 2009 г. связана с резким падением экспортных цен в период кризиса. Из-за сложившегося соотношения экспортных пошлин на нефть и нефтепродукты в 2005-2010 гг.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сочетании со снижением экспортной эффективности нефти при экспорте нефтепродуктов образовалась значительная искусственная премия по отношению к экспорту нефти. Применительно к основным продуктам российского экспорта нефтепродуктов - дизельному топливу и мазуту - в 2010 г. она составляла около 2000 руб./т.</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прибыли нефтяных компаний от экспорта нефти и нефтепродуктов в рублях необходимо дополнить соответствующим расчетом в долларах США (см. табл. 2.9.). Можно предположить, что оценка прибыли в долларах - основная для акционеров нефтяных компаний. </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2.9</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эффективность экспорта тонны нефти и нефтепродуктов (долл.США)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631"/>
        <w:gridCol w:w="709"/>
        <w:gridCol w:w="709"/>
        <w:gridCol w:w="783"/>
        <w:gridCol w:w="623"/>
        <w:gridCol w:w="616"/>
        <w:gridCol w:w="660"/>
        <w:gridCol w:w="708"/>
        <w:gridCol w:w="783"/>
        <w:gridCol w:w="784"/>
      </w:tblGrid>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Расчетные доходы от экспотра</w:t>
            </w:r>
          </w:p>
        </w:tc>
        <w:tc>
          <w:tcPr>
            <w:tcW w:w="63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62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6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0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63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62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70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7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63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62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6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70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63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62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6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70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7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63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2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6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70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Набор нефтепродуктов</w:t>
            </w:r>
          </w:p>
        </w:tc>
        <w:tc>
          <w:tcPr>
            <w:tcW w:w="63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0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62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6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66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70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7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данными таблицы 2.9, в 2001-2010 гг. валютная эффективность экспорта сырой нефти уменьшилась почти в 3 раза, экспорта бензина, занимающего незначительную долю в экспортных поставках, изменилась незначительно, зато эффективность экспорта дизельного топлива возросла в 2,4 раза, топочного мазута - в 4 раза. В 2010 г. прибыль при экспорте тонны дизельного топлива в 4 раза превосходила аналогичный показатель для сырой нефти. Из-за высокой доли дизельного топлива и мазута в экспорте нефтепродуктов эффективность продажи за рубеж российского «экспортного набора» нефтепродуктов в 3,8 раза превосходила эффективность экспорта нефти.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более полной картины сравнительной доходности экспорта нефти и нефтепродуктов в 2001-2010 гг. от рассмотрения удельных показателей перейдем к объемным. В таблице 8 представлены объемы и структура расчетной (операционной) прибыли российских нефтяных компаний от экспорта нефти и нефтепродуктов.</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2.10, следует, что за десять лет доходы российских экспортеров нефти и нефтепродуктов в текущих долларах США выросли на 26%. Если учесть, что рост потребительской инфляции в США за эти годы составил </w:t>
      </w:r>
      <w:r>
        <w:rPr>
          <w:rFonts w:ascii="Times New Roman CYR" w:hAnsi="Times New Roman CYR" w:cs="Times New Roman CYR"/>
          <w:sz w:val="28"/>
          <w:szCs w:val="28"/>
        </w:rPr>
        <w:lastRenderedPageBreak/>
        <w:t>24%, то можно констатировать: прибыль нефтяных компаний за указанный период в постоянных долларах почти не изменилась, несмотря на рост номинальных цен экспорта нефти в 3,6 раза. Зато структура прибыли изменилась значительно. Если в 2001 г. на экспорт нефти приходилось 87% прибыли от экспорта нефти и нефтепродуктов, то в 2010 г. - лишь 36%. В 2010 г. доходы от экспорта мазута превысили доходы от экспорта нефти -невероятный результат, обусловленный российским режимом налогообложения.</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прибыли нефтяных компаний от экспорта тонны нефти и нефтепродуктов (в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693"/>
        <w:gridCol w:w="846"/>
        <w:gridCol w:w="845"/>
        <w:gridCol w:w="845"/>
        <w:gridCol w:w="845"/>
        <w:gridCol w:w="845"/>
        <w:gridCol w:w="845"/>
        <w:gridCol w:w="845"/>
        <w:gridCol w:w="846"/>
        <w:gridCol w:w="846"/>
      </w:tblGrid>
      <w:tr w:rsidR="00F66867">
        <w:tc>
          <w:tcPr>
            <w:tcW w:w="124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экспорта</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F66867">
        <w:tc>
          <w:tcPr>
            <w:tcW w:w="124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86,7</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85,0</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r>
      <w:tr w:rsidR="00F66867">
        <w:tc>
          <w:tcPr>
            <w:tcW w:w="124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F66867">
        <w:tc>
          <w:tcPr>
            <w:tcW w:w="124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r>
      <w:tr w:rsidR="00F66867">
        <w:tc>
          <w:tcPr>
            <w:tcW w:w="124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w:t>
            </w:r>
          </w:p>
        </w:tc>
      </w:tr>
      <w:tr w:rsidR="00F66867">
        <w:tc>
          <w:tcPr>
            <w:tcW w:w="124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млн.долл.</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12 692</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16 479</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19 205</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23 044</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16 488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8 868</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16 540</w:t>
            </w:r>
          </w:p>
        </w:tc>
        <w:tc>
          <w:tcPr>
            <w:tcW w:w="84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14 955</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3 188</w:t>
            </w:r>
          </w:p>
        </w:tc>
        <w:tc>
          <w:tcPr>
            <w:tcW w:w="84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16 005</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 ЦБ РФ</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оснований для введения в 2005 г. соотношения между экспортной пошлиной на нефть и светлые нефтепродукты на уровне 70% и на мазут на уровне 40% было стремление удовлетворить возросшую внутреннюю потребность в бензине. Для этого пришлось задействовать все имеющиеся мощности, в том числе с низкой глубиной нефтепереработки.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можно констатировать, что указанная задача была решена. Объем производства бензина вырос с 30,5 млн т в 2004 г. до 36 млн т в 2010 г. Однако за это решение пришлось заплатить высокую цену. Глубина переработки нефти за </w:t>
      </w:r>
      <w:r>
        <w:rPr>
          <w:rFonts w:ascii="Times New Roman CYR" w:hAnsi="Times New Roman CYR" w:cs="Times New Roman CYR"/>
          <w:sz w:val="28"/>
          <w:szCs w:val="28"/>
        </w:rPr>
        <w:lastRenderedPageBreak/>
        <w:t>прошедшее десятилетие в России практически не изменилась. Набор экспортируемых продуктов нефтепереработки стоил дешевле нефти (в отрасли создавалась отрицательная добавленная стоимость). В 2010 г. стоимость экспортированной из России тонны нефти была на 4% выше, чем тонны продукции нефтепереработки. Такое соотношение возникло потому, что свыше 50% экспорта нефтепереработки приходилось в конце «нулевых» годов на мазут, а экспортная цена мазута была более чем на 20% ниже экспортной цены нефти. В результате страна ежегодно недополучала 7-8 млрд долл. экспортной выручки.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России углубляется диспропорция между производственными мощностями по первичной и вторичной переработке нефти: мощностей первого рода в России избыток, второго-недостаток. При современном техническом состоянии российские нефтеперерабатывающие заводы, не могут выпускать достаточный объем продукции, удовлетворяющей современным экологическим стандартам, а старение оборудования повышает риск техногенных катастроф. В недалеком будущем это грозит ростом импорта моторного топлива и потерей энергетической независимости.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начала 2011 г. в России осуществляются реформы в сфере вывозных налоговых тарифов на нефтепродукты. Первой формальной новацией стало применение формульного подхода к определению зависимости экспортной пошлины на нефтепродукты от экспортной пошлины на нефть. В предыдущие годы правительство РФ, ежемесячно определяя величину пошлин на нефтепродукты, также могло поддерживать их соотношение с нефтяной пошлиной на неизменном уровне, но это не было закреплено законодательно. Далее, начиная с 2011 г., происходит сближение экспортных пошлин на светлые и темные нефтепродукты: на первые пошлина понижена до 0,67% от нефтяной, а на мазут повышена до 0,467%. Соответственно изменилась сравнительная </w:t>
      </w:r>
      <w:r>
        <w:rPr>
          <w:rFonts w:ascii="Times New Roman CYR" w:hAnsi="Times New Roman CYR" w:cs="Times New Roman CYR"/>
          <w:sz w:val="28"/>
          <w:szCs w:val="28"/>
        </w:rPr>
        <w:lastRenderedPageBreak/>
        <w:t>удельная эффективность экспорта нефти и нефтепродуктов.</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мае 2011 г. в связи с возникшим дефицитом бензина на внутреннем рынке в качестве временной меры была введена повышенная ставка вывозной пошлины на бензин в размере 90% от нефтяной. Однако это соотношение действовало весь 2011 г. и продолжает действовать в нынешнем году. С октября 2011 г. постановлением правительства РФ введен долго обсуждавшийся налоговый режим «60/66», при котором предельная ставка вывозной пошлины на нефть понижается с 65 до 60% и вводится единая ставка экспортной пошлины на светлые и темные нефтепродукты, за исключением бензинов, на уровне 66% от соответствующей ставки на нефть. Кроме того, в соответствии с тем же постановлением с начала 2015 г. экспортная пошлина на топочный мазут будет приравнена к нефтяной.</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введение новых ставок экспортных пошлин на нефть и нефтепродукты влияет на доходность экспортных операций? Используя приведенную выше формулу, рассчитаем эффективность экспорта нефти и основных видов нефтепродуктов по кварталам 2011 и I кварталу 2012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расчетах использованы данные о себестоимости нефти и нефтепродуктов за четыре квартала 2011 и I квартала 2012 г., помесячные данные ФТС об экспортных ценах и физическом объеме экспорта нефти и нефтепродуктов, данные БД «Консультант» об экспортных пошлинах на нефть и нефтепродукты.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2.11 приведены расчетные доходы нефтяных компаний от экспорта тонны нефти и нефтепродуктов с учетом себестоимости, экспортных пошлин, затрат на транспорт и обменного курса доллара к рублю. Правый столбец таблицы 2.11, рассчитан при предположении, что налоговый режим 2015 г. уже действует и вывозная пошлина на мазут равна нефтяной.</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Таблица 2.11</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эффективность экспорта тонны нефти и нефтепродуктов в 2011 и I квартале 2012 г.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054"/>
        <w:gridCol w:w="1141"/>
        <w:gridCol w:w="1207"/>
        <w:gridCol w:w="1300"/>
        <w:gridCol w:w="1134"/>
        <w:gridCol w:w="1252"/>
      </w:tblGrid>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экспорта</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2011</w:t>
            </w:r>
          </w:p>
        </w:tc>
        <w:tc>
          <w:tcPr>
            <w:tcW w:w="114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 2011</w:t>
            </w:r>
          </w:p>
        </w:tc>
        <w:tc>
          <w:tcPr>
            <w:tcW w:w="120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 2011</w:t>
            </w:r>
          </w:p>
        </w:tc>
        <w:tc>
          <w:tcPr>
            <w:tcW w:w="130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кв. 2011</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c>
          <w:tcPr>
            <w:tcW w:w="1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1 523,8</w:t>
            </w:r>
          </w:p>
        </w:tc>
        <w:tc>
          <w:tcPr>
            <w:tcW w:w="114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1 377,1</w:t>
            </w:r>
          </w:p>
        </w:tc>
        <w:tc>
          <w:tcPr>
            <w:tcW w:w="120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1 249,4</w:t>
            </w:r>
          </w:p>
        </w:tc>
        <w:tc>
          <w:tcPr>
            <w:tcW w:w="130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3 117,3</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2 801,7</w:t>
            </w:r>
          </w:p>
        </w:tc>
        <w:tc>
          <w:tcPr>
            <w:tcW w:w="1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2 801,7</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984,6</w:t>
            </w:r>
          </w:p>
        </w:tc>
        <w:tc>
          <w:tcPr>
            <w:tcW w:w="114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-383,2</w:t>
            </w:r>
          </w:p>
        </w:tc>
        <w:tc>
          <w:tcPr>
            <w:tcW w:w="120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948,9</w:t>
            </w:r>
          </w:p>
        </w:tc>
        <w:tc>
          <w:tcPr>
            <w:tcW w:w="130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-3 166,5</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2 786,4</w:t>
            </w:r>
          </w:p>
        </w:tc>
        <w:tc>
          <w:tcPr>
            <w:tcW w:w="1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2 786,4</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2 682,7</w:t>
            </w:r>
          </w:p>
        </w:tc>
        <w:tc>
          <w:tcPr>
            <w:tcW w:w="114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4 264,8</w:t>
            </w:r>
          </w:p>
        </w:tc>
        <w:tc>
          <w:tcPr>
            <w:tcW w:w="120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5 830,6</w:t>
            </w:r>
          </w:p>
        </w:tc>
        <w:tc>
          <w:tcPr>
            <w:tcW w:w="130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3 860,3</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3 350,0</w:t>
            </w:r>
          </w:p>
        </w:tc>
        <w:tc>
          <w:tcPr>
            <w:tcW w:w="1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3 350,0</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1617,7</w:t>
            </w:r>
          </w:p>
        </w:tc>
        <w:tc>
          <w:tcPr>
            <w:tcW w:w="114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1461,6</w:t>
            </w:r>
          </w:p>
        </w:tc>
        <w:tc>
          <w:tcPr>
            <w:tcW w:w="120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2 998,2</w:t>
            </w:r>
          </w:p>
        </w:tc>
        <w:tc>
          <w:tcPr>
            <w:tcW w:w="130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2 469,0</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774,5</w:t>
            </w:r>
          </w:p>
        </w:tc>
        <w:tc>
          <w:tcPr>
            <w:tcW w:w="1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-3 346,3</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Набор нефтепродуктов</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1 981,0</w:t>
            </w:r>
          </w:p>
        </w:tc>
        <w:tc>
          <w:tcPr>
            <w:tcW w:w="114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2 406,2</w:t>
            </w:r>
          </w:p>
        </w:tc>
        <w:tc>
          <w:tcPr>
            <w:tcW w:w="120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3 753,8</w:t>
            </w:r>
          </w:p>
        </w:tc>
        <w:tc>
          <w:tcPr>
            <w:tcW w:w="1300"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2 779,5</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1 748,5</w:t>
            </w:r>
          </w:p>
        </w:tc>
        <w:tc>
          <w:tcPr>
            <w:tcW w:w="125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-789,7</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экспорта при режиме, вводимом в 2015 г., в условиях I квартала 2012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 расчеты автора. При расчете прибыли от продажи за рубеж «экспортного набора» нефтепродуктов использована структура экспорта нефтепродуктов соответствующего квартала.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Поквартальная структура экспорта основных нефтепродуктов, использованная при расчете прибыли от экспорта набора нефтепродуктов за 2011-2012 гг., приведена в таблице 2.12. Показатель доходов от экспорта набора нефтепродуктов, рассчитанный в соответствии со структурой российского экспорта, важен, поскольку нефтеперерабатывающие предприятия не могут за короткое время существенным образом изменить структуру производимых нефтепродуктов без модернизации производства.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экспорта нефтепродуктов (в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1084"/>
        <w:gridCol w:w="1221"/>
        <w:gridCol w:w="1222"/>
        <w:gridCol w:w="1417"/>
        <w:gridCol w:w="1566"/>
      </w:tblGrid>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w:t>
            </w:r>
          </w:p>
        </w:tc>
        <w:tc>
          <w:tcPr>
            <w:tcW w:w="10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2011</w:t>
            </w:r>
          </w:p>
        </w:tc>
        <w:tc>
          <w:tcPr>
            <w:tcW w:w="122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 2011</w:t>
            </w:r>
          </w:p>
        </w:tc>
        <w:tc>
          <w:tcPr>
            <w:tcW w:w="12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 2011</w:t>
            </w:r>
          </w:p>
        </w:tc>
        <w:tc>
          <w:tcPr>
            <w:tcW w:w="14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кв. 2011</w:t>
            </w:r>
          </w:p>
        </w:tc>
        <w:tc>
          <w:tcPr>
            <w:tcW w:w="156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0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22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2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4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6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10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w:t>
            </w:r>
          </w:p>
        </w:tc>
        <w:tc>
          <w:tcPr>
            <w:tcW w:w="122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w:t>
            </w:r>
          </w:p>
        </w:tc>
        <w:tc>
          <w:tcPr>
            <w:tcW w:w="12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14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56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10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w:t>
            </w:r>
          </w:p>
        </w:tc>
        <w:tc>
          <w:tcPr>
            <w:tcW w:w="122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w:t>
            </w:r>
          </w:p>
        </w:tc>
        <w:tc>
          <w:tcPr>
            <w:tcW w:w="12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w:t>
            </w:r>
          </w:p>
        </w:tc>
        <w:tc>
          <w:tcPr>
            <w:tcW w:w="14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56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экспорта нефтепродуктов (тыс.т.)</w:t>
            </w:r>
          </w:p>
        </w:tc>
        <w:tc>
          <w:tcPr>
            <w:tcW w:w="10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26 928,1</w:t>
            </w:r>
          </w:p>
        </w:tc>
        <w:tc>
          <w:tcPr>
            <w:tcW w:w="122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25 384,8</w:t>
            </w:r>
          </w:p>
        </w:tc>
        <w:tc>
          <w:tcPr>
            <w:tcW w:w="1222"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29 871,7</w:t>
            </w:r>
          </w:p>
        </w:tc>
        <w:tc>
          <w:tcPr>
            <w:tcW w:w="141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28 016,5</w:t>
            </w:r>
          </w:p>
        </w:tc>
        <w:tc>
          <w:tcPr>
            <w:tcW w:w="156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29 931,1</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аналогии с расчетами за 2001-2010 гг. рассчитаем прибыль от экспорта нефти и нефтепродуктов в долларах. Как видно из данных таблицы 11, с начала 2011 г. эффективность экспорта нефти, рассчитанная в долларах, резко возросла (с 23 долл./т в среднем за 2010 г. до 52 долл./т в I квартале 2011 г.). Такой рост вызван одновременным влиянием двух факторов: укрепления рубля и роста цены на нефть на 25%. Одновременно снизилась эффективность экспорта мазута - с 87 до 55 долл./т. Здесь сказалось повышение пошлин на мазут с 39% от уровня экспортной пошлины на нефть до 47%. Из-за снижения эффективности экспорта мазута по сравнению с уровнем 2010 г. сократилась прибыль от продажи за рубеж российского «экспортного набора» нефтепродуктов. Тем не менее в I-III кварталах 2011 г. эффективность продаж нефтепродуктов была выше, чем экспорта сырой нефти. Введение налогового режима «60/66» качественно поменяло это соотношение.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Новый налоговый режим заметно изменил структуру доходов российских нефтяных компаний от экспорта нефти и нефтепродуктов (см. табл. 2.13). С IV квартала 2011 г. в ней резко возросла доля нефти.</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Расчетная эффективность экспорта тонны нефти и нефтепродуктов (долл.США)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056"/>
        <w:gridCol w:w="1134"/>
        <w:gridCol w:w="1316"/>
        <w:gridCol w:w="1316"/>
        <w:gridCol w:w="1053"/>
        <w:gridCol w:w="1325"/>
      </w:tblGrid>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экспорта</w:t>
            </w:r>
          </w:p>
        </w:tc>
        <w:tc>
          <w:tcPr>
            <w:tcW w:w="10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2011</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 2011</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 2011</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кв. 2011</w:t>
            </w:r>
          </w:p>
        </w:tc>
        <w:tc>
          <w:tcPr>
            <w:tcW w:w="105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c>
          <w:tcPr>
            <w:tcW w:w="13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10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105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c>
          <w:tcPr>
            <w:tcW w:w="13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0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-101,4</w:t>
            </w:r>
          </w:p>
        </w:tc>
        <w:tc>
          <w:tcPr>
            <w:tcW w:w="105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w:t>
            </w:r>
          </w:p>
        </w:tc>
        <w:tc>
          <w:tcPr>
            <w:tcW w:w="13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10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91,7</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123,6</w:t>
            </w:r>
          </w:p>
        </w:tc>
        <w:tc>
          <w:tcPr>
            <w:tcW w:w="105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w:t>
            </w:r>
          </w:p>
        </w:tc>
        <w:tc>
          <w:tcPr>
            <w:tcW w:w="13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10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w:t>
            </w:r>
          </w:p>
        </w:tc>
        <w:tc>
          <w:tcPr>
            <w:tcW w:w="105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13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-110,7</w:t>
            </w:r>
          </w:p>
        </w:tc>
      </w:tr>
      <w:tr w:rsidR="00F66867">
        <w:tc>
          <w:tcPr>
            <w:tcW w:w="226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Набор нефтепродуктов</w:t>
            </w:r>
          </w:p>
        </w:tc>
        <w:tc>
          <w:tcPr>
            <w:tcW w:w="105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129,3</w:t>
            </w:r>
          </w:p>
        </w:tc>
        <w:tc>
          <w:tcPr>
            <w:tcW w:w="131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w:t>
            </w:r>
          </w:p>
        </w:tc>
        <w:tc>
          <w:tcPr>
            <w:tcW w:w="105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w:t>
            </w:r>
          </w:p>
        </w:tc>
        <w:tc>
          <w:tcPr>
            <w:tcW w:w="132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экспорта при режиме, вводимом в 2015 г., в условиях I квартала 2012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 расчеты автора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Таблица 2.14</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расчетной прибыли нефтяных компаний от экспорта нефти и нефтепродуктов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1054"/>
        <w:gridCol w:w="1134"/>
        <w:gridCol w:w="1327"/>
        <w:gridCol w:w="1327"/>
        <w:gridCol w:w="1134"/>
        <w:gridCol w:w="1111"/>
      </w:tblGrid>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экспорта</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2011</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кв. 2011</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кв. 2011</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кв. 2011</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c>
          <w:tcPr>
            <w:tcW w:w="111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кв. 2012*</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Нефть</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55,7</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w:t>
            </w:r>
          </w:p>
        </w:tc>
        <w:tc>
          <w:tcPr>
            <w:tcW w:w="111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116,7</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1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Дизельное топливо</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11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Мазут</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11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w:t>
            </w:r>
          </w:p>
        </w:tc>
      </w:tr>
      <w:tr w:rsidR="00F66867">
        <w:tc>
          <w:tcPr>
            <w:tcW w:w="212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Набор нефтепродуктов</w:t>
            </w:r>
          </w:p>
        </w:tc>
        <w:tc>
          <w:tcPr>
            <w:tcW w:w="10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4 622,1</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4 927,1</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6 027,9</w:t>
            </w:r>
          </w:p>
        </w:tc>
        <w:tc>
          <w:tcPr>
            <w:tcW w:w="132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8 410,5</w:t>
            </w:r>
          </w:p>
        </w:tc>
        <w:tc>
          <w:tcPr>
            <w:tcW w:w="113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7 180,5</w:t>
            </w:r>
          </w:p>
        </w:tc>
        <w:tc>
          <w:tcPr>
            <w:tcW w:w="111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4 668,2</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прибыли при налоговом режиме, вводимом в 2015 г., в условиях I квартала 2012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данные Росстата, ФТС; расчеты автора</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налогового режима «60/66» привело к потерям для федерального бюджета из-за сокращения экспортной пошлины на сырую нефть. В IV квартале 2011 г. потери составили 28 млрд руб., в I квартале 2012 г. - 53 млрд.</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Изменилось соотношение эффективности экспорта нефти и нефтепродуктов. Из данных таблицы 2.14, видно, что, начиная с IV квартала 2011 г., «экспортный набор» нефтепродуктов стал приносить меньшую прибыль, чем экспорт нефти, хотя продавать на экспорт дизельное топливо все еще выгоднее, чем нефть. Но нельзя сказать, что с введением нового налогового режима структура экспорта изменилась. Не сократились и объемы экспорта нефтепродуктов. Мазут все равно производится, и его нужно куда-то продавать, тем более что прибыль от экспорта мазута положительная. В IV квартале 2011 г. его доля в экспортной структуре нефтепродуктов была рекордно высокой, в I квартале 2012 г. она снизилась, но лишь до уровня I и II кварталов 2011 г.</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Сокращение производства и экспорта мазута требует инвестиций в реконструкцию и новое строительство нефтеперерабатывающих предприятий, </w:t>
      </w:r>
      <w:r>
        <w:rPr>
          <w:rFonts w:ascii="Times New Roman CYR" w:hAnsi="Times New Roman CYR" w:cs="Times New Roman CYR"/>
          <w:sz w:val="28"/>
          <w:szCs w:val="28"/>
        </w:rPr>
        <w:lastRenderedPageBreak/>
        <w:t>но этому препятствует неблагоприятный инвестиционный климат в России. Справедливости ради отметим, что одно новое нефтеперерабатывающее предприятие в нашей стране строится («Татнефть» сооружает нефтеперерабатывающий комплекс «Танеко») при определенном противодействии Минэнерго (необходимо чем-то заполнять экспортные нефтяные трубопроводы).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начиная с IV квартала 2011 г., экспорт нефтепродуктов из России стал менее привлекательным, чем сырой нефти, можно ожидать, что в ближайшей перспективе он сократится в абсолютном выражении, а предприятия с долей производства мазута выше среднероссийской столкнутся с угрозой остановки, исходя из общеэкономических соображений. Конечно, в реальности этого может и не произойти, переработка нефти и экспорт нефтепродуктов могут оставаться экономически привлекательными, например, в случае достижения нефтяными компаниями лимита по экспортным квотам на нефть. Сокращение объемов переработки нефти может привести к дефициту бензина на внутреннем рынке. Напомним, что в середине «нулевых» именно опасения возникновения такого дефицита вынудили правительство РФ принять меры по искусственному стимулированию производства и экспорта нефтепродуктов на технически отсталых предприятиях. При возникновении «бензинового кризиса», возможно, придется вернуться к какому-то аналогу прежнего налогового режима.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правого столбца таблицы 2.14 показывают, что при современной структуре российского экспорта нефтепродуктов приравнивание экспортной пошлины на мазут к нефтяной, предположительно с начала 2015 г., приведет к тому, что экспорт нефтепродуктов станет убыточным. В принципе это должно побуждать нефтяные компании вкладывать средства в модернизацию нефтепереработки. В противном случае ее общий объем должен сократиться </w:t>
      </w:r>
      <w:r>
        <w:rPr>
          <w:rFonts w:ascii="Times New Roman CYR" w:hAnsi="Times New Roman CYR" w:cs="Times New Roman CYR"/>
          <w:sz w:val="28"/>
          <w:szCs w:val="28"/>
        </w:rPr>
        <w:lastRenderedPageBreak/>
        <w:t>примерно в два раза. Проблема в том, что без модернизации при таком сокращении возникнет резкий дисбаланс между внутренней потребностью в моторном топливе и объемами его производства. Вероятно, для создания современной нефтеперерабатывающей отрасли правительству придется действовать не только кнутом, но и пряником, иначе вся российская экономика станет заложником склонности нефтяных компаний к инвестированию в нефтепереработку.</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Экспортная пошлина на сырую нефть с 1 июня 2013г. снизилась на 19 долл./т (или на 5%) - до 359,4 долл./т с 378,4 долл./т в мае 2013г. (табл. 2.15)</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мониторинга Минфина РФ, с 15 апреля по 14 мая 2013г. средняя цена на нефть марки Urals составила 100,39 долл./барр. (732,8 долл./т). Таким образом, предельная ставка экспортной пошлины на сырую нефть равна 359,4 долл./т. (рис. 2.14)</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пошлины на экспорт нефти (долл.т)</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9"/>
        <w:gridCol w:w="706"/>
        <w:gridCol w:w="683"/>
        <w:gridCol w:w="683"/>
        <w:gridCol w:w="684"/>
        <w:gridCol w:w="684"/>
        <w:gridCol w:w="684"/>
        <w:gridCol w:w="684"/>
        <w:gridCol w:w="684"/>
        <w:gridCol w:w="684"/>
        <w:gridCol w:w="684"/>
        <w:gridCol w:w="684"/>
        <w:gridCol w:w="684"/>
      </w:tblGrid>
      <w:tr w:rsidR="00F66867">
        <w:tc>
          <w:tcPr>
            <w:tcW w:w="1279"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01.06 2013</w:t>
            </w:r>
          </w:p>
        </w:tc>
        <w:tc>
          <w:tcPr>
            <w:tcW w:w="6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01.072013</w:t>
            </w:r>
          </w:p>
        </w:tc>
        <w:tc>
          <w:tcPr>
            <w:tcW w:w="6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01.082013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01.092013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01.102013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01.112013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01.122013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01.012014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01.022014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01.032014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01.042014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01.052014</w:t>
            </w:r>
          </w:p>
        </w:tc>
      </w:tr>
      <w:tr w:rsidR="00F66867">
        <w:tc>
          <w:tcPr>
            <w:tcW w:w="1279"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Экспортная пошлина</w:t>
            </w:r>
          </w:p>
        </w:tc>
        <w:tc>
          <w:tcPr>
            <w:tcW w:w="70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359,3</w:t>
            </w:r>
          </w:p>
        </w:tc>
        <w:tc>
          <w:tcPr>
            <w:tcW w:w="6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359,2</w:t>
            </w:r>
          </w:p>
        </w:tc>
        <w:tc>
          <w:tcPr>
            <w:tcW w:w="68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379,8</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400,7</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395,9</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385,7</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394,8</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386,3</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384,4</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387,0</w:t>
            </w:r>
          </w:p>
        </w:tc>
        <w:tc>
          <w:tcPr>
            <w:tcW w:w="68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376,1</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http://www.ngfr.ru/statistic.html</w:t>
      </w:r>
    </w:p>
    <w:p w:rsidR="00F66867" w:rsidRDefault="001640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45100" cy="286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100" cy="2863850"/>
                    </a:xfrm>
                    <a:prstGeom prst="rect">
                      <a:avLst/>
                    </a:prstGeom>
                    <a:noFill/>
                    <a:ln>
                      <a:noFill/>
                    </a:ln>
                  </pic:spPr>
                </pic:pic>
              </a:graphicData>
            </a:graphic>
          </wp:inline>
        </w:drawing>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http://www.ngfr.ru/statistic.html</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2.14 Таможенные пошлины на экспорт нефти</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Единая ставка экспортной пошлины на светлые и темные нефтепродукты, кроме бензинов, рассчитываемая по методике "60/66/90", с 1 июня составила 237,2 долл./т против 249,7 долл./т месяцем ранее. (табл. 2.16). При этом пошлина на бензин, сохраненная на уровне 90% от пошлины на нефть, в июне снизилась до 323,3 долл./т с 340,6 долл./т в предыдущем месяце (рис. 2.15).</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Ставки экспортных пошлин на нефть рассчитываются уполномоченным органом - Минэкономразвития (МЭР) РФ - по формуле, установленной правительством. Этот порядок действует в соответствии с поправками в закон о "Таможенном тарифе", вступившими в силу с 1 апреля 2013г. Ранее ставки утверждались постановлением правительства РФ.</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2.16</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пошлины на экспорт нефтепродуктов (долл.т)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767"/>
        <w:gridCol w:w="693"/>
        <w:gridCol w:w="693"/>
        <w:gridCol w:w="693"/>
        <w:gridCol w:w="694"/>
        <w:gridCol w:w="694"/>
        <w:gridCol w:w="694"/>
        <w:gridCol w:w="694"/>
        <w:gridCol w:w="694"/>
        <w:gridCol w:w="694"/>
        <w:gridCol w:w="694"/>
        <w:gridCol w:w="758"/>
      </w:tblGrid>
      <w:tr w:rsidR="00F66867">
        <w:tc>
          <w:tcPr>
            <w:tcW w:w="1035"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01.06 2013</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01.072013</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01.082013</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01.092013</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01.102013</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01.112013</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01.122013</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01.012014</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01.022014</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01.032014</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01.042014</w:t>
            </w:r>
          </w:p>
        </w:tc>
        <w:tc>
          <w:tcPr>
            <w:tcW w:w="75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01.052014</w:t>
            </w:r>
          </w:p>
        </w:tc>
      </w:tr>
      <w:tr w:rsidR="00F66867">
        <w:tc>
          <w:tcPr>
            <w:tcW w:w="10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Светлые</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237,1</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243,6</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250,6</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264,4</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274,8</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254,5</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254,9</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253,7</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255,4</w:t>
            </w:r>
          </w:p>
        </w:tc>
        <w:tc>
          <w:tcPr>
            <w:tcW w:w="75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248,2</w:t>
            </w:r>
          </w:p>
        </w:tc>
      </w:tr>
      <w:tr w:rsidR="00F66867">
        <w:tc>
          <w:tcPr>
            <w:tcW w:w="10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Темные</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237,1</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243,6</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250,6</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264,4</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274,8</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254,5</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260,5</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254,9</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253,7</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255,4</w:t>
            </w:r>
          </w:p>
        </w:tc>
        <w:tc>
          <w:tcPr>
            <w:tcW w:w="75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248,2</w:t>
            </w:r>
          </w:p>
        </w:tc>
      </w:tr>
      <w:tr w:rsidR="00F66867">
        <w:tc>
          <w:tcPr>
            <w:tcW w:w="1035"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Бензин*</w:t>
            </w:r>
          </w:p>
        </w:tc>
        <w:tc>
          <w:tcPr>
            <w:tcW w:w="767"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323,3</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332,2</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341,8</w:t>
            </w:r>
          </w:p>
        </w:tc>
        <w:tc>
          <w:tcPr>
            <w:tcW w:w="693"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360,6</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374,7</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356,3</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347,1</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355,3</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347,6</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w:t>
            </w:r>
          </w:p>
        </w:tc>
        <w:tc>
          <w:tcPr>
            <w:tcW w:w="69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348,3</w:t>
            </w:r>
          </w:p>
        </w:tc>
        <w:tc>
          <w:tcPr>
            <w:tcW w:w="75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338,4</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мае 2011 года для стабилизации внутреннего рынка введена специальная повышенная пошлина на вывоз бензина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Источник: </w:t>
      </w:r>
      <w:r>
        <w:rPr>
          <w:rFonts w:ascii="Times New Roman CYR" w:hAnsi="Times New Roman CYR" w:cs="Times New Roman CYR"/>
          <w:color w:val="0000FF"/>
          <w:sz w:val="28"/>
          <w:szCs w:val="28"/>
          <w:u w:val="single"/>
        </w:rPr>
        <w:t>&lt;http://www.ngfr.ru/statistic.html&gt;</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1640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21300" cy="3295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300" cy="3295650"/>
                    </a:xfrm>
                    <a:prstGeom prst="rect">
                      <a:avLst/>
                    </a:prstGeom>
                    <a:noFill/>
                    <a:ln>
                      <a:noFill/>
                    </a:ln>
                  </pic:spPr>
                </pic:pic>
              </a:graphicData>
            </a:graphic>
          </wp:inline>
        </w:drawing>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 http://www.ngfr.ru/statistic.html</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2.15 Пошлина на экспорт нефтепродуктов</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Качественное изменение </w:t>
      </w:r>
      <w:r>
        <w:rPr>
          <w:rFonts w:ascii="Times New Roman" w:hAnsi="Times New Roman" w:cs="Times New Roman"/>
          <w:sz w:val="28"/>
          <w:szCs w:val="28"/>
        </w:rPr>
        <w:t>þ</w:t>
      </w:r>
      <w:r>
        <w:rPr>
          <w:rFonts w:ascii="Times New Roman CYR" w:hAnsi="Times New Roman CYR" w:cs="Times New Roman CYR"/>
          <w:sz w:val="28"/>
          <w:szCs w:val="28"/>
        </w:rPr>
        <w:t xml:space="preserve">условии </w:t>
      </w:r>
      <w:r>
        <w:rPr>
          <w:rFonts w:ascii="Times New Roman" w:hAnsi="Times New Roman" w:cs="Times New Roman"/>
          <w:sz w:val="28"/>
          <w:szCs w:val="28"/>
        </w:rPr>
        <w:t>þþ</w:t>
      </w:r>
      <w:r>
        <w:rPr>
          <w:rFonts w:ascii="Times New Roman CYR" w:hAnsi="Times New Roman CYR" w:cs="Times New Roman CYR"/>
          <w:sz w:val="28"/>
          <w:szCs w:val="28"/>
        </w:rPr>
        <w:t>реализации</w:t>
      </w:r>
      <w:r>
        <w:rPr>
          <w:rFonts w:ascii="Times New Roman" w:hAnsi="Times New Roman" w:cs="Times New Roman"/>
          <w:sz w:val="28"/>
          <w:szCs w:val="28"/>
        </w:rPr>
        <w:t>þ</w:t>
      </w:r>
      <w:r>
        <w:rPr>
          <w:rFonts w:ascii="Times New Roman CYR" w:hAnsi="Times New Roman CYR" w:cs="Times New Roman CYR"/>
          <w:sz w:val="28"/>
          <w:szCs w:val="28"/>
        </w:rPr>
        <w:t xml:space="preserve"> </w:t>
      </w:r>
      <w:r>
        <w:rPr>
          <w:rFonts w:ascii="Times New Roman" w:hAnsi="Times New Roman" w:cs="Times New Roman"/>
          <w:sz w:val="28"/>
          <w:szCs w:val="28"/>
        </w:rPr>
        <w:t>þþ</w:t>
      </w:r>
      <w:r>
        <w:rPr>
          <w:rFonts w:ascii="Times New Roman CYR" w:hAnsi="Times New Roman CYR" w:cs="Times New Roman CYR"/>
          <w:sz w:val="28"/>
          <w:szCs w:val="28"/>
        </w:rPr>
        <w:t>таможенно-тари</w:t>
      </w:r>
      <w:r>
        <w:rPr>
          <w:rFonts w:ascii="Times New Roman" w:hAnsi="Times New Roman" w:cs="Times New Roman"/>
          <w:sz w:val="28"/>
          <w:szCs w:val="28"/>
        </w:rPr>
        <w:t>þ</w:t>
      </w:r>
      <w:r>
        <w:rPr>
          <w:rFonts w:ascii="Times New Roman CYR" w:hAnsi="Times New Roman CYR" w:cs="Times New Roman CYR"/>
          <w:sz w:val="28"/>
          <w:szCs w:val="28"/>
        </w:rPr>
        <w:t>фной политики</w:t>
      </w:r>
      <w:r>
        <w:rPr>
          <w:rFonts w:ascii="Times New Roman" w:hAnsi="Times New Roman" w:cs="Times New Roman"/>
          <w:sz w:val="28"/>
          <w:szCs w:val="28"/>
        </w:rPr>
        <w:t>þ</w:t>
      </w:r>
      <w:r>
        <w:rPr>
          <w:rFonts w:ascii="Times New Roman CYR" w:hAnsi="Times New Roman CYR" w:cs="Times New Roman CYR"/>
          <w:sz w:val="28"/>
          <w:szCs w:val="28"/>
        </w:rPr>
        <w:t xml:space="preserve"> в 2011 году и</w:t>
      </w:r>
      <w:r>
        <w:rPr>
          <w:rFonts w:ascii="Times New Roman" w:hAnsi="Times New Roman" w:cs="Times New Roman"/>
          <w:sz w:val="28"/>
          <w:szCs w:val="28"/>
        </w:rPr>
        <w:t>þ</w:t>
      </w:r>
      <w:r>
        <w:rPr>
          <w:rFonts w:ascii="Times New Roman CYR" w:hAnsi="Times New Roman CYR" w:cs="Times New Roman CYR"/>
          <w:sz w:val="28"/>
          <w:szCs w:val="28"/>
        </w:rPr>
        <w:t xml:space="preserve"> в последующие годы заключаются, во-первых, в распространении</w:t>
      </w:r>
      <w:r>
        <w:rPr>
          <w:rFonts w:ascii="Times New Roman" w:hAnsi="Times New Roman" w:cs="Times New Roman"/>
          <w:sz w:val="28"/>
          <w:szCs w:val="28"/>
        </w:rPr>
        <w:t>þ</w:t>
      </w:r>
      <w:r>
        <w:rPr>
          <w:rFonts w:ascii="Times New Roman CYR" w:hAnsi="Times New Roman CYR" w:cs="Times New Roman CYR"/>
          <w:sz w:val="28"/>
          <w:szCs w:val="28"/>
        </w:rPr>
        <w:t xml:space="preserve"> процесса гармонизации</w:t>
      </w:r>
      <w:r>
        <w:rPr>
          <w:rFonts w:ascii="Times New Roman" w:hAnsi="Times New Roman" w:cs="Times New Roman"/>
          <w:sz w:val="28"/>
          <w:szCs w:val="28"/>
        </w:rPr>
        <w:t>þ</w:t>
      </w:r>
      <w:r>
        <w:rPr>
          <w:rFonts w:ascii="Times New Roman CYR" w:hAnsi="Times New Roman CYR" w:cs="Times New Roman CYR"/>
          <w:sz w:val="28"/>
          <w:szCs w:val="28"/>
        </w:rPr>
        <w:t xml:space="preserve"> норм и</w:t>
      </w:r>
      <w:r>
        <w:rPr>
          <w:rFonts w:ascii="Times New Roman" w:hAnsi="Times New Roman" w:cs="Times New Roman"/>
          <w:sz w:val="28"/>
          <w:szCs w:val="28"/>
        </w:rPr>
        <w:t>þ</w:t>
      </w:r>
      <w:r>
        <w:rPr>
          <w:rFonts w:ascii="Times New Roman CYR" w:hAnsi="Times New Roman CYR" w:cs="Times New Roman CYR"/>
          <w:sz w:val="28"/>
          <w:szCs w:val="28"/>
        </w:rPr>
        <w:t xml:space="preserve"> правил регулирования </w:t>
      </w:r>
      <w:r>
        <w:rPr>
          <w:rFonts w:ascii="Times New Roman" w:hAnsi="Times New Roman" w:cs="Times New Roman"/>
          <w:sz w:val="28"/>
          <w:szCs w:val="28"/>
        </w:rPr>
        <w:t>þþ</w:t>
      </w:r>
      <w:r>
        <w:rPr>
          <w:rFonts w:ascii="Times New Roman CYR" w:hAnsi="Times New Roman CYR" w:cs="Times New Roman CYR"/>
          <w:sz w:val="28"/>
          <w:szCs w:val="28"/>
        </w:rPr>
        <w:t>на все основные сферы экономической деятельности</w:t>
      </w:r>
      <w:r>
        <w:rPr>
          <w:rFonts w:ascii="Times New Roman" w:hAnsi="Times New Roman" w:cs="Times New Roman"/>
          <w:sz w:val="28"/>
          <w:szCs w:val="28"/>
        </w:rPr>
        <w:t>þ</w:t>
      </w:r>
      <w:r>
        <w:rPr>
          <w:rFonts w:ascii="Times New Roman CYR" w:hAnsi="Times New Roman CYR" w:cs="Times New Roman CYR"/>
          <w:sz w:val="28"/>
          <w:szCs w:val="28"/>
        </w:rPr>
        <w:t xml:space="preserve"> стран-участни</w:t>
      </w:r>
      <w:r>
        <w:rPr>
          <w:rFonts w:ascii="Times New Roman" w:hAnsi="Times New Roman" w:cs="Times New Roman"/>
          <w:sz w:val="28"/>
          <w:szCs w:val="28"/>
        </w:rPr>
        <w:t>þ</w:t>
      </w:r>
      <w:r>
        <w:rPr>
          <w:rFonts w:ascii="Times New Roman CYR" w:hAnsi="Times New Roman CYR" w:cs="Times New Roman CYR"/>
          <w:sz w:val="28"/>
          <w:szCs w:val="28"/>
        </w:rPr>
        <w:t>ц таможенного союза и</w:t>
      </w:r>
      <w:r>
        <w:rPr>
          <w:rFonts w:ascii="Times New Roman" w:hAnsi="Times New Roman" w:cs="Times New Roman"/>
          <w:sz w:val="28"/>
          <w:szCs w:val="28"/>
        </w:rPr>
        <w:t>þ,</w:t>
      </w:r>
      <w:r>
        <w:rPr>
          <w:rFonts w:ascii="Times New Roman CYR" w:hAnsi="Times New Roman CYR" w:cs="Times New Roman CYR"/>
          <w:sz w:val="28"/>
          <w:szCs w:val="28"/>
        </w:rPr>
        <w:t xml:space="preserve"> во-вторых, в создании</w:t>
      </w:r>
      <w:r>
        <w:rPr>
          <w:rFonts w:ascii="Times New Roman" w:hAnsi="Times New Roman" w:cs="Times New Roman"/>
          <w:sz w:val="28"/>
          <w:szCs w:val="28"/>
        </w:rPr>
        <w:t>þ</w:t>
      </w:r>
      <w:r>
        <w:rPr>
          <w:rFonts w:ascii="Times New Roman CYR" w:hAnsi="Times New Roman CYR" w:cs="Times New Roman CYR"/>
          <w:sz w:val="28"/>
          <w:szCs w:val="28"/>
        </w:rPr>
        <w:t xml:space="preserve"> объединенного рынка России</w:t>
      </w:r>
      <w:r>
        <w:rPr>
          <w:rFonts w:ascii="Times New Roman" w:hAnsi="Times New Roman" w:cs="Times New Roman"/>
          <w:sz w:val="28"/>
          <w:szCs w:val="28"/>
        </w:rPr>
        <w:t>þ,</w:t>
      </w:r>
      <w:r>
        <w:rPr>
          <w:rFonts w:ascii="Times New Roman CYR" w:hAnsi="Times New Roman CYR" w:cs="Times New Roman CYR"/>
          <w:sz w:val="28"/>
          <w:szCs w:val="28"/>
        </w:rPr>
        <w:t xml:space="preserve"> Белоруссии</w:t>
      </w:r>
      <w:r>
        <w:rPr>
          <w:rFonts w:ascii="Times New Roman" w:hAnsi="Times New Roman" w:cs="Times New Roman"/>
          <w:sz w:val="28"/>
          <w:szCs w:val="28"/>
        </w:rPr>
        <w:t>þ</w:t>
      </w:r>
      <w:r>
        <w:rPr>
          <w:rFonts w:ascii="Times New Roman CYR" w:hAnsi="Times New Roman CYR" w:cs="Times New Roman CYR"/>
          <w:sz w:val="28"/>
          <w:szCs w:val="28"/>
        </w:rPr>
        <w:t xml:space="preserve"> и</w:t>
      </w:r>
      <w:r>
        <w:rPr>
          <w:rFonts w:ascii="Times New Roman" w:hAnsi="Times New Roman" w:cs="Times New Roman"/>
          <w:sz w:val="28"/>
          <w:szCs w:val="28"/>
        </w:rPr>
        <w:t>þ</w:t>
      </w:r>
      <w:r>
        <w:rPr>
          <w:rFonts w:ascii="Times New Roman CYR" w:hAnsi="Times New Roman CYR" w:cs="Times New Roman CYR"/>
          <w:sz w:val="28"/>
          <w:szCs w:val="28"/>
        </w:rPr>
        <w:t xml:space="preserve"> Казахстана, функционирующего на согласованных странами</w:t>
      </w:r>
      <w:r>
        <w:rPr>
          <w:rFonts w:ascii="Times New Roman" w:hAnsi="Times New Roman" w:cs="Times New Roman"/>
          <w:sz w:val="28"/>
          <w:szCs w:val="28"/>
        </w:rPr>
        <w:t>þ</w:t>
      </w:r>
      <w:r>
        <w:rPr>
          <w:rFonts w:ascii="Times New Roman CYR" w:hAnsi="Times New Roman CYR" w:cs="Times New Roman CYR"/>
          <w:sz w:val="28"/>
          <w:szCs w:val="28"/>
        </w:rPr>
        <w:t xml:space="preserve"> принципах. Формирование </w:t>
      </w:r>
      <w:r>
        <w:rPr>
          <w:rFonts w:ascii="Times New Roman" w:hAnsi="Times New Roman" w:cs="Times New Roman"/>
          <w:sz w:val="28"/>
          <w:szCs w:val="28"/>
        </w:rPr>
        <w:t>þþ</w:t>
      </w:r>
      <w:r>
        <w:rPr>
          <w:rFonts w:ascii="Times New Roman CYR" w:hAnsi="Times New Roman CYR" w:cs="Times New Roman CYR"/>
          <w:sz w:val="28"/>
          <w:szCs w:val="28"/>
        </w:rPr>
        <w:t xml:space="preserve">единого экономического </w:t>
      </w:r>
      <w:r>
        <w:rPr>
          <w:rFonts w:ascii="Times New Roman CYR" w:hAnsi="Times New Roman CYR" w:cs="Times New Roman CYR"/>
          <w:sz w:val="28"/>
          <w:szCs w:val="28"/>
        </w:rPr>
        <w:lastRenderedPageBreak/>
        <w:t>пространства будет сопровождаться изменением конкурентной среды вследствие возникновения новых, стимулируемых интеграцией товаропотоков, образования межстрановых прои</w:t>
      </w:r>
      <w:r>
        <w:rPr>
          <w:rFonts w:ascii="Times New Roman" w:hAnsi="Times New Roman" w:cs="Times New Roman"/>
          <w:sz w:val="28"/>
          <w:szCs w:val="28"/>
        </w:rPr>
        <w:t>þ</w:t>
      </w:r>
      <w:r>
        <w:rPr>
          <w:rFonts w:ascii="Times New Roman CYR" w:hAnsi="Times New Roman CYR" w:cs="Times New Roman CYR"/>
          <w:sz w:val="28"/>
          <w:szCs w:val="28"/>
        </w:rPr>
        <w:t>зводственно-сбытовых цепочек и</w:t>
      </w:r>
      <w:r>
        <w:rPr>
          <w:rFonts w:ascii="Times New Roman" w:hAnsi="Times New Roman" w:cs="Times New Roman"/>
          <w:sz w:val="28"/>
          <w:szCs w:val="28"/>
        </w:rPr>
        <w:t>þ</w:t>
      </w:r>
      <w:r>
        <w:rPr>
          <w:rFonts w:ascii="Times New Roman CYR" w:hAnsi="Times New Roman CYR" w:cs="Times New Roman CYR"/>
          <w:sz w:val="28"/>
          <w:szCs w:val="28"/>
        </w:rPr>
        <w:t xml:space="preserve"> интегрированных производственных комплексов, выработки</w:t>
      </w:r>
      <w:r>
        <w:rPr>
          <w:rFonts w:ascii="Times New Roman" w:hAnsi="Times New Roman" w:cs="Times New Roman"/>
          <w:sz w:val="28"/>
          <w:szCs w:val="28"/>
        </w:rPr>
        <w:t>þ</w:t>
      </w:r>
      <w:r>
        <w:rPr>
          <w:rFonts w:ascii="Times New Roman CYR" w:hAnsi="Times New Roman CYR" w:cs="Times New Roman CYR"/>
          <w:sz w:val="28"/>
          <w:szCs w:val="28"/>
        </w:rPr>
        <w:t xml:space="preserve"> новых уни</w:t>
      </w:r>
      <w:r>
        <w:rPr>
          <w:rFonts w:ascii="Times New Roman" w:hAnsi="Times New Roman" w:cs="Times New Roman"/>
          <w:sz w:val="28"/>
          <w:szCs w:val="28"/>
        </w:rPr>
        <w:t>þ</w:t>
      </w:r>
      <w:r>
        <w:rPr>
          <w:rFonts w:ascii="Times New Roman CYR" w:hAnsi="Times New Roman CYR" w:cs="Times New Roman CYR"/>
          <w:sz w:val="28"/>
          <w:szCs w:val="28"/>
        </w:rPr>
        <w:t>фи</w:t>
      </w:r>
      <w:r>
        <w:rPr>
          <w:rFonts w:ascii="Times New Roman" w:hAnsi="Times New Roman" w:cs="Times New Roman"/>
          <w:sz w:val="28"/>
          <w:szCs w:val="28"/>
        </w:rPr>
        <w:t>þ</w:t>
      </w:r>
      <w:r>
        <w:rPr>
          <w:rFonts w:ascii="Times New Roman CYR" w:hAnsi="Times New Roman CYR" w:cs="Times New Roman CYR"/>
          <w:sz w:val="28"/>
          <w:szCs w:val="28"/>
        </w:rPr>
        <w:t>ци</w:t>
      </w:r>
      <w:r>
        <w:rPr>
          <w:rFonts w:ascii="Times New Roman" w:hAnsi="Times New Roman" w:cs="Times New Roman"/>
          <w:sz w:val="28"/>
          <w:szCs w:val="28"/>
        </w:rPr>
        <w:t>þ</w:t>
      </w:r>
      <w:r>
        <w:rPr>
          <w:rFonts w:ascii="Times New Roman CYR" w:hAnsi="Times New Roman CYR" w:cs="Times New Roman CYR"/>
          <w:sz w:val="28"/>
          <w:szCs w:val="28"/>
        </w:rPr>
        <w:t>рованных правил конкуренции</w:t>
      </w:r>
      <w:r>
        <w:rPr>
          <w:rFonts w:ascii="Times New Roman" w:hAnsi="Times New Roman" w:cs="Times New Roman"/>
          <w:sz w:val="28"/>
          <w:szCs w:val="28"/>
        </w:rPr>
        <w:t>þ,</w:t>
      </w:r>
      <w:r>
        <w:rPr>
          <w:rFonts w:ascii="Times New Roman CYR" w:hAnsi="Times New Roman CYR" w:cs="Times New Roman CYR"/>
          <w:sz w:val="28"/>
          <w:szCs w:val="28"/>
        </w:rPr>
        <w:t xml:space="preserve"> регулирования деятельности</w:t>
      </w:r>
      <w:r>
        <w:rPr>
          <w:rFonts w:ascii="Times New Roman" w:hAnsi="Times New Roman" w:cs="Times New Roman"/>
          <w:sz w:val="28"/>
          <w:szCs w:val="28"/>
        </w:rPr>
        <w:t>þ</w:t>
      </w:r>
      <w:r>
        <w:rPr>
          <w:rFonts w:ascii="Times New Roman CYR" w:hAnsi="Times New Roman CYR" w:cs="Times New Roman CYR"/>
          <w:sz w:val="28"/>
          <w:szCs w:val="28"/>
        </w:rPr>
        <w:t xml:space="preserve"> субъектов естественных монополий, предоставления промышленных субсидий, государственной поддержки</w:t>
      </w:r>
      <w:r>
        <w:rPr>
          <w:rFonts w:ascii="Times New Roman" w:hAnsi="Times New Roman" w:cs="Times New Roman"/>
          <w:sz w:val="28"/>
          <w:szCs w:val="28"/>
        </w:rPr>
        <w:t>þ</w:t>
      </w:r>
      <w:r>
        <w:rPr>
          <w:rFonts w:ascii="Times New Roman CYR" w:hAnsi="Times New Roman CYR" w:cs="Times New Roman CYR"/>
          <w:sz w:val="28"/>
          <w:szCs w:val="28"/>
        </w:rPr>
        <w:t xml:space="preserve"> сельского хозяйства, осуществления государственных закупок.</w:t>
      </w:r>
    </w:p>
    <w:p w:rsidR="00F66867" w:rsidRDefault="00823FFD">
      <w:pPr>
        <w:widowControl w:val="0"/>
        <w:autoSpaceDE w:val="0"/>
        <w:autoSpaceDN w:val="0"/>
        <w:adjustRightInd w:val="0"/>
        <w:spacing w:after="0" w:line="240" w:lineRule="auto"/>
        <w:ind w:firstLine="709"/>
        <w:rPr>
          <w:rFonts w:ascii="Times New Roman" w:hAnsi="Times New Roman" w:cs="Times New Roman"/>
          <w:sz w:val="28"/>
          <w:szCs w:val="28"/>
        </w:rPr>
      </w:pPr>
      <w:r>
        <w:rPr>
          <w:rFonts w:ascii="Times New Roman CYR" w:hAnsi="Times New Roman CYR" w:cs="Times New Roman CYR"/>
          <w:sz w:val="28"/>
          <w:szCs w:val="28"/>
        </w:rPr>
        <w:t>В практическом плане потребуется адаптация ЕТТ к новым условиям конкуренции</w:t>
      </w:r>
      <w:r>
        <w:rPr>
          <w:rFonts w:ascii="Times New Roman" w:hAnsi="Times New Roman" w:cs="Times New Roman"/>
          <w:sz w:val="28"/>
          <w:szCs w:val="28"/>
        </w:rPr>
        <w:t>þ</w:t>
      </w:r>
      <w:r>
        <w:rPr>
          <w:rFonts w:ascii="Times New Roman CYR" w:hAnsi="Times New Roman CYR" w:cs="Times New Roman CYR"/>
          <w:sz w:val="28"/>
          <w:szCs w:val="28"/>
        </w:rPr>
        <w:t xml:space="preserve"> на объединённом рынке трех стран, включая обеспечение эффективной тарифной защиты нетрадиционных и</w:t>
      </w:r>
      <w:r>
        <w:rPr>
          <w:rFonts w:ascii="Times New Roman" w:hAnsi="Times New Roman" w:cs="Times New Roman"/>
          <w:sz w:val="28"/>
          <w:szCs w:val="28"/>
        </w:rPr>
        <w:t>þ</w:t>
      </w:r>
      <w:r>
        <w:rPr>
          <w:rFonts w:ascii="Times New Roman CYR" w:hAnsi="Times New Roman CYR" w:cs="Times New Roman CYR"/>
          <w:sz w:val="28"/>
          <w:szCs w:val="28"/>
        </w:rPr>
        <w:t xml:space="preserve"> инновационных производств, получивших благодаря интеграционному фактору мощный импульс в своем развитии</w:t>
      </w:r>
      <w:r>
        <w:rPr>
          <w:rFonts w:ascii="Times New Roman" w:hAnsi="Times New Roman" w:cs="Times New Roman"/>
          <w:sz w:val="28"/>
          <w:szCs w:val="28"/>
        </w:rPr>
        <w:t>þ.</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формирования общего рынка нефти</w:t>
      </w:r>
      <w:r>
        <w:rPr>
          <w:rFonts w:ascii="Times New Roman" w:hAnsi="Times New Roman" w:cs="Times New Roman"/>
          <w:sz w:val="28"/>
          <w:szCs w:val="28"/>
        </w:rPr>
        <w:t>þ,</w:t>
      </w:r>
      <w:r>
        <w:rPr>
          <w:rFonts w:ascii="Times New Roman CYR" w:hAnsi="Times New Roman CYR" w:cs="Times New Roman CYR"/>
          <w:sz w:val="28"/>
          <w:szCs w:val="28"/>
        </w:rPr>
        <w:t xml:space="preserve"> нефтепродуктов и</w:t>
      </w:r>
      <w:r>
        <w:rPr>
          <w:rFonts w:ascii="Times New Roman" w:hAnsi="Times New Roman" w:cs="Times New Roman"/>
          <w:sz w:val="28"/>
          <w:szCs w:val="28"/>
        </w:rPr>
        <w:t>þ</w:t>
      </w:r>
      <w:r>
        <w:rPr>
          <w:rFonts w:ascii="Times New Roman CYR" w:hAnsi="Times New Roman CYR" w:cs="Times New Roman CYR"/>
          <w:sz w:val="28"/>
          <w:szCs w:val="28"/>
        </w:rPr>
        <w:t xml:space="preserve"> газа России</w:t>
      </w:r>
      <w:r>
        <w:rPr>
          <w:rFonts w:ascii="Times New Roman" w:hAnsi="Times New Roman" w:cs="Times New Roman"/>
          <w:sz w:val="28"/>
          <w:szCs w:val="28"/>
        </w:rPr>
        <w:t>þ,</w:t>
      </w:r>
      <w:r>
        <w:rPr>
          <w:rFonts w:ascii="Times New Roman CYR" w:hAnsi="Times New Roman CYR" w:cs="Times New Roman CYR"/>
          <w:sz w:val="28"/>
          <w:szCs w:val="28"/>
        </w:rPr>
        <w:t xml:space="preserve"> Белоруссии</w:t>
      </w:r>
      <w:r>
        <w:rPr>
          <w:rFonts w:ascii="Times New Roman" w:hAnsi="Times New Roman" w:cs="Times New Roman"/>
          <w:sz w:val="28"/>
          <w:szCs w:val="28"/>
        </w:rPr>
        <w:t>þ</w:t>
      </w:r>
      <w:r>
        <w:rPr>
          <w:rFonts w:ascii="Times New Roman CYR" w:hAnsi="Times New Roman CYR" w:cs="Times New Roman CYR"/>
          <w:sz w:val="28"/>
          <w:szCs w:val="28"/>
        </w:rPr>
        <w:t xml:space="preserve"> и</w:t>
      </w:r>
      <w:r>
        <w:rPr>
          <w:rFonts w:ascii="Times New Roman" w:hAnsi="Times New Roman" w:cs="Times New Roman"/>
          <w:sz w:val="28"/>
          <w:szCs w:val="28"/>
        </w:rPr>
        <w:t>þ</w:t>
      </w:r>
      <w:r>
        <w:rPr>
          <w:rFonts w:ascii="Times New Roman CYR" w:hAnsi="Times New Roman CYR" w:cs="Times New Roman CYR"/>
          <w:sz w:val="28"/>
          <w:szCs w:val="28"/>
        </w:rPr>
        <w:t xml:space="preserve"> Казахстана изменятся параметры экспортного таможенного тарифа.</w:t>
      </w:r>
    </w:p>
    <w:p w:rsidR="00F66867" w:rsidRDefault="00823FFD">
      <w:pPr>
        <w:widowControl w:val="0"/>
        <w:autoSpaceDE w:val="0"/>
        <w:autoSpaceDN w:val="0"/>
        <w:adjustRightInd w:val="0"/>
        <w:spacing w:after="0" w:line="240" w:lineRule="auto"/>
        <w:ind w:firstLine="709"/>
        <w:rPr>
          <w:rFonts w:ascii="Times New Roman" w:hAnsi="Times New Roman" w:cs="Times New Roman"/>
          <w:sz w:val="28"/>
          <w:szCs w:val="28"/>
        </w:rPr>
      </w:pPr>
      <w:r>
        <w:rPr>
          <w:rFonts w:ascii="Times New Roman CYR" w:hAnsi="Times New Roman CYR" w:cs="Times New Roman CYR"/>
          <w:sz w:val="28"/>
          <w:szCs w:val="28"/>
        </w:rPr>
        <w:t xml:space="preserve">В условиях </w:t>
      </w:r>
      <w:r>
        <w:rPr>
          <w:rFonts w:ascii="Times New Roman" w:hAnsi="Times New Roman" w:cs="Times New Roman"/>
          <w:sz w:val="28"/>
          <w:szCs w:val="28"/>
        </w:rPr>
        <w:t>þþ</w:t>
      </w:r>
      <w:r>
        <w:rPr>
          <w:rFonts w:ascii="Times New Roman CYR" w:hAnsi="Times New Roman CYR" w:cs="Times New Roman CYR"/>
          <w:sz w:val="28"/>
          <w:szCs w:val="28"/>
        </w:rPr>
        <w:t>функци</w:t>
      </w:r>
      <w:r>
        <w:rPr>
          <w:rFonts w:ascii="Times New Roman" w:hAnsi="Times New Roman" w:cs="Times New Roman"/>
          <w:sz w:val="28"/>
          <w:szCs w:val="28"/>
        </w:rPr>
        <w:t>þ</w:t>
      </w:r>
      <w:r>
        <w:rPr>
          <w:rFonts w:ascii="Times New Roman CYR" w:hAnsi="Times New Roman CYR" w:cs="Times New Roman CYR"/>
          <w:sz w:val="28"/>
          <w:szCs w:val="28"/>
        </w:rPr>
        <w:t>они</w:t>
      </w:r>
      <w:r>
        <w:rPr>
          <w:rFonts w:ascii="Times New Roman" w:hAnsi="Times New Roman" w:cs="Times New Roman"/>
          <w:sz w:val="28"/>
          <w:szCs w:val="28"/>
        </w:rPr>
        <w:t>þ</w:t>
      </w:r>
      <w:r>
        <w:rPr>
          <w:rFonts w:ascii="Times New Roman CYR" w:hAnsi="Times New Roman CYR" w:cs="Times New Roman CYR"/>
          <w:sz w:val="28"/>
          <w:szCs w:val="28"/>
        </w:rPr>
        <w:t>ровани</w:t>
      </w:r>
      <w:r>
        <w:rPr>
          <w:rFonts w:ascii="Times New Roman" w:hAnsi="Times New Roman" w:cs="Times New Roman"/>
          <w:sz w:val="28"/>
          <w:szCs w:val="28"/>
        </w:rPr>
        <w:t>þ</w:t>
      </w:r>
      <w:r>
        <w:rPr>
          <w:rFonts w:ascii="Times New Roman CYR" w:hAnsi="Times New Roman CYR" w:cs="Times New Roman CYR"/>
          <w:sz w:val="28"/>
          <w:szCs w:val="28"/>
        </w:rPr>
        <w:t xml:space="preserve">я единого экономического пространства </w:t>
      </w:r>
      <w:r>
        <w:rPr>
          <w:rFonts w:ascii="Times New Roman" w:hAnsi="Times New Roman" w:cs="Times New Roman"/>
          <w:sz w:val="28"/>
          <w:szCs w:val="28"/>
        </w:rPr>
        <w:t>þþ</w:t>
      </w:r>
      <w:r>
        <w:rPr>
          <w:rFonts w:ascii="Times New Roman CYR" w:hAnsi="Times New Roman CYR" w:cs="Times New Roman CYR"/>
          <w:sz w:val="28"/>
          <w:szCs w:val="28"/>
        </w:rPr>
        <w:t xml:space="preserve">значительно возрастет роль </w:t>
      </w:r>
      <w:r>
        <w:rPr>
          <w:rFonts w:ascii="Times New Roman" w:hAnsi="Times New Roman" w:cs="Times New Roman"/>
          <w:sz w:val="28"/>
          <w:szCs w:val="28"/>
        </w:rPr>
        <w:t>þþ</w:t>
      </w:r>
      <w:r>
        <w:rPr>
          <w:rFonts w:ascii="Times New Roman CYR" w:hAnsi="Times New Roman CYR" w:cs="Times New Roman CYR"/>
          <w:sz w:val="28"/>
          <w:szCs w:val="28"/>
        </w:rPr>
        <w:t xml:space="preserve">эффективного </w:t>
      </w:r>
      <w:r>
        <w:rPr>
          <w:rFonts w:ascii="Times New Roman" w:hAnsi="Times New Roman" w:cs="Times New Roman"/>
          <w:sz w:val="28"/>
          <w:szCs w:val="28"/>
        </w:rPr>
        <w:t>þþ</w:t>
      </w:r>
      <w:r>
        <w:rPr>
          <w:rFonts w:ascii="Times New Roman CYR" w:hAnsi="Times New Roman CYR" w:cs="Times New Roman CYR"/>
          <w:sz w:val="28"/>
          <w:szCs w:val="28"/>
        </w:rPr>
        <w:t xml:space="preserve">таможенного </w:t>
      </w:r>
      <w:r>
        <w:rPr>
          <w:rFonts w:ascii="Times New Roman" w:hAnsi="Times New Roman" w:cs="Times New Roman"/>
          <w:sz w:val="28"/>
          <w:szCs w:val="28"/>
        </w:rPr>
        <w:t>þþ</w:t>
      </w:r>
      <w:r>
        <w:rPr>
          <w:rFonts w:ascii="Times New Roman CYR" w:hAnsi="Times New Roman CYR" w:cs="Times New Roman CYR"/>
          <w:sz w:val="28"/>
          <w:szCs w:val="28"/>
        </w:rPr>
        <w:t>адми</w:t>
      </w:r>
      <w:r>
        <w:rPr>
          <w:rFonts w:ascii="Times New Roman" w:hAnsi="Times New Roman" w:cs="Times New Roman"/>
          <w:sz w:val="28"/>
          <w:szCs w:val="28"/>
        </w:rPr>
        <w:t>þ</w:t>
      </w:r>
      <w:r>
        <w:rPr>
          <w:rFonts w:ascii="Times New Roman CYR" w:hAnsi="Times New Roman CYR" w:cs="Times New Roman CYR"/>
          <w:sz w:val="28"/>
          <w:szCs w:val="28"/>
        </w:rPr>
        <w:t>ни</w:t>
      </w:r>
      <w:r>
        <w:rPr>
          <w:rFonts w:ascii="Times New Roman" w:hAnsi="Times New Roman" w:cs="Times New Roman"/>
          <w:sz w:val="28"/>
          <w:szCs w:val="28"/>
        </w:rPr>
        <w:t>þ</w:t>
      </w:r>
      <w:r>
        <w:rPr>
          <w:rFonts w:ascii="Times New Roman CYR" w:hAnsi="Times New Roman CYR" w:cs="Times New Roman CYR"/>
          <w:sz w:val="28"/>
          <w:szCs w:val="28"/>
        </w:rPr>
        <w:t>стри</w:t>
      </w:r>
      <w:r>
        <w:rPr>
          <w:rFonts w:ascii="Times New Roman" w:hAnsi="Times New Roman" w:cs="Times New Roman"/>
          <w:sz w:val="28"/>
          <w:szCs w:val="28"/>
        </w:rPr>
        <w:t>þ</w:t>
      </w:r>
      <w:r>
        <w:rPr>
          <w:rFonts w:ascii="Times New Roman CYR" w:hAnsi="Times New Roman CYR" w:cs="Times New Roman CYR"/>
          <w:sz w:val="28"/>
          <w:szCs w:val="28"/>
        </w:rPr>
        <w:t>ровани</w:t>
      </w:r>
      <w:r>
        <w:rPr>
          <w:rFonts w:ascii="Times New Roman" w:hAnsi="Times New Roman" w:cs="Times New Roman"/>
          <w:sz w:val="28"/>
          <w:szCs w:val="28"/>
        </w:rPr>
        <w:t>þ</w:t>
      </w:r>
      <w:r>
        <w:rPr>
          <w:rFonts w:ascii="Times New Roman CYR" w:hAnsi="Times New Roman CYR" w:cs="Times New Roman CYR"/>
          <w:sz w:val="28"/>
          <w:szCs w:val="28"/>
        </w:rPr>
        <w:t xml:space="preserve">я </w:t>
      </w:r>
      <w:r>
        <w:rPr>
          <w:rFonts w:ascii="Times New Roman" w:hAnsi="Times New Roman" w:cs="Times New Roman"/>
          <w:sz w:val="28"/>
          <w:szCs w:val="28"/>
        </w:rPr>
        <w:t>þþ</w:t>
      </w:r>
      <w:r>
        <w:rPr>
          <w:rFonts w:ascii="Times New Roman CYR" w:hAnsi="Times New Roman CYR" w:cs="Times New Roman CYR"/>
          <w:sz w:val="28"/>
          <w:szCs w:val="28"/>
        </w:rPr>
        <w:t xml:space="preserve">по </w:t>
      </w:r>
      <w:r>
        <w:rPr>
          <w:rFonts w:ascii="Times New Roman" w:hAnsi="Times New Roman" w:cs="Times New Roman"/>
          <w:sz w:val="28"/>
          <w:szCs w:val="28"/>
        </w:rPr>
        <w:t>þþ</w:t>
      </w:r>
      <w:r>
        <w:rPr>
          <w:rFonts w:ascii="Times New Roman CYR" w:hAnsi="Times New Roman CYR" w:cs="Times New Roman CYR"/>
          <w:sz w:val="28"/>
          <w:szCs w:val="28"/>
        </w:rPr>
        <w:t xml:space="preserve">причине </w:t>
      </w:r>
      <w:r>
        <w:rPr>
          <w:rFonts w:ascii="Times New Roman" w:hAnsi="Times New Roman" w:cs="Times New Roman"/>
          <w:sz w:val="28"/>
          <w:szCs w:val="28"/>
        </w:rPr>
        <w:t>þþ</w:t>
      </w:r>
      <w:r>
        <w:rPr>
          <w:rFonts w:ascii="Times New Roman CYR" w:hAnsi="Times New Roman CYR" w:cs="Times New Roman CYR"/>
          <w:sz w:val="28"/>
          <w:szCs w:val="28"/>
        </w:rPr>
        <w:t xml:space="preserve">объективного </w:t>
      </w:r>
      <w:r>
        <w:rPr>
          <w:rFonts w:ascii="Times New Roman" w:hAnsi="Times New Roman" w:cs="Times New Roman"/>
          <w:sz w:val="28"/>
          <w:szCs w:val="28"/>
        </w:rPr>
        <w:t>þþ</w:t>
      </w:r>
      <w:r>
        <w:rPr>
          <w:rFonts w:ascii="Times New Roman CYR" w:hAnsi="Times New Roman CYR" w:cs="Times New Roman CYR"/>
          <w:sz w:val="28"/>
          <w:szCs w:val="28"/>
        </w:rPr>
        <w:t xml:space="preserve">повышения </w:t>
      </w:r>
      <w:r>
        <w:rPr>
          <w:rFonts w:ascii="Times New Roman" w:hAnsi="Times New Roman" w:cs="Times New Roman"/>
          <w:sz w:val="28"/>
          <w:szCs w:val="28"/>
        </w:rPr>
        <w:t>þþ</w:t>
      </w:r>
      <w:r>
        <w:rPr>
          <w:rFonts w:ascii="Times New Roman CYR" w:hAnsi="Times New Roman CYR" w:cs="Times New Roman CYR"/>
          <w:sz w:val="28"/>
          <w:szCs w:val="28"/>
        </w:rPr>
        <w:t>привлекательности</w:t>
      </w:r>
      <w:r>
        <w:rPr>
          <w:rFonts w:ascii="Times New Roman" w:hAnsi="Times New Roman" w:cs="Times New Roman"/>
          <w:sz w:val="28"/>
          <w:szCs w:val="28"/>
        </w:rPr>
        <w:t>þ</w:t>
      </w:r>
      <w:r>
        <w:rPr>
          <w:rFonts w:ascii="Times New Roman CYR" w:hAnsi="Times New Roman CYR" w:cs="Times New Roman CYR"/>
          <w:sz w:val="28"/>
          <w:szCs w:val="28"/>
        </w:rPr>
        <w:t xml:space="preserve"> </w:t>
      </w:r>
      <w:r>
        <w:rPr>
          <w:rFonts w:ascii="Times New Roman" w:hAnsi="Times New Roman" w:cs="Times New Roman"/>
          <w:sz w:val="28"/>
          <w:szCs w:val="28"/>
        </w:rPr>
        <w:t>þ</w:t>
      </w:r>
      <w:r>
        <w:rPr>
          <w:rFonts w:ascii="Times New Roman CYR" w:hAnsi="Times New Roman CYR" w:cs="Times New Roman CYR"/>
          <w:sz w:val="28"/>
          <w:szCs w:val="28"/>
        </w:rPr>
        <w:t>объединенного рынка России</w:t>
      </w:r>
      <w:r>
        <w:rPr>
          <w:rFonts w:ascii="Times New Roman" w:hAnsi="Times New Roman" w:cs="Times New Roman"/>
          <w:sz w:val="28"/>
          <w:szCs w:val="28"/>
        </w:rPr>
        <w:t>þ,</w:t>
      </w:r>
      <w:r>
        <w:rPr>
          <w:rFonts w:ascii="Times New Roman CYR" w:hAnsi="Times New Roman CYR" w:cs="Times New Roman CYR"/>
          <w:sz w:val="28"/>
          <w:szCs w:val="28"/>
        </w:rPr>
        <w:t xml:space="preserve"> Белоруссии</w:t>
      </w:r>
      <w:r>
        <w:rPr>
          <w:rFonts w:ascii="Times New Roman" w:hAnsi="Times New Roman" w:cs="Times New Roman"/>
          <w:sz w:val="28"/>
          <w:szCs w:val="28"/>
        </w:rPr>
        <w:t>þ</w:t>
      </w:r>
      <w:r>
        <w:rPr>
          <w:rFonts w:ascii="Times New Roman CYR" w:hAnsi="Times New Roman CYR" w:cs="Times New Roman CYR"/>
          <w:sz w:val="28"/>
          <w:szCs w:val="28"/>
        </w:rPr>
        <w:t xml:space="preserve"> </w:t>
      </w:r>
      <w:r>
        <w:rPr>
          <w:rFonts w:ascii="Times New Roman" w:hAnsi="Times New Roman" w:cs="Times New Roman"/>
          <w:sz w:val="28"/>
          <w:szCs w:val="28"/>
        </w:rPr>
        <w:t>þþ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w:t>
      </w:r>
      <w:r>
        <w:rPr>
          <w:rFonts w:ascii="Times New Roman" w:hAnsi="Times New Roman" w:cs="Times New Roman"/>
          <w:sz w:val="28"/>
          <w:szCs w:val="28"/>
        </w:rPr>
        <w:t>þþ</w:t>
      </w:r>
      <w:r>
        <w:rPr>
          <w:rFonts w:ascii="Times New Roman CYR" w:hAnsi="Times New Roman CYR" w:cs="Times New Roman CYR"/>
          <w:sz w:val="28"/>
          <w:szCs w:val="28"/>
        </w:rPr>
        <w:t xml:space="preserve">Казахстана </w:t>
      </w:r>
      <w:r>
        <w:rPr>
          <w:rFonts w:ascii="Times New Roman" w:hAnsi="Times New Roman" w:cs="Times New Roman"/>
          <w:sz w:val="28"/>
          <w:szCs w:val="28"/>
        </w:rPr>
        <w:t>þþ</w:t>
      </w:r>
      <w:r>
        <w:rPr>
          <w:rFonts w:ascii="Times New Roman CYR" w:hAnsi="Times New Roman CYR" w:cs="Times New Roman CYR"/>
          <w:sz w:val="28"/>
          <w:szCs w:val="28"/>
        </w:rPr>
        <w:t xml:space="preserve">для </w:t>
      </w:r>
      <w:r>
        <w:rPr>
          <w:rFonts w:ascii="Times New Roman" w:hAnsi="Times New Roman" w:cs="Times New Roman"/>
          <w:sz w:val="28"/>
          <w:szCs w:val="28"/>
        </w:rPr>
        <w:t>þþ</w:t>
      </w:r>
      <w:r>
        <w:rPr>
          <w:rFonts w:ascii="Times New Roman CYR" w:hAnsi="Times New Roman CYR" w:cs="Times New Roman CYR"/>
          <w:sz w:val="28"/>
          <w:szCs w:val="28"/>
        </w:rPr>
        <w:t xml:space="preserve">недобросовестных поставщиков </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w:t>
      </w:r>
      <w:r>
        <w:rPr>
          <w:rFonts w:ascii="Times New Roman" w:hAnsi="Times New Roman" w:cs="Times New Roman"/>
          <w:sz w:val="28"/>
          <w:szCs w:val="28"/>
        </w:rPr>
        <w:t>þþ</w:t>
      </w:r>
      <w:r>
        <w:rPr>
          <w:rFonts w:ascii="Times New Roman CYR" w:hAnsi="Times New Roman CYR" w:cs="Times New Roman CYR"/>
          <w:sz w:val="28"/>
          <w:szCs w:val="28"/>
        </w:rPr>
        <w:t xml:space="preserve">импортеров </w:t>
      </w:r>
      <w:r>
        <w:rPr>
          <w:rFonts w:ascii="Times New Roman" w:hAnsi="Times New Roman" w:cs="Times New Roman"/>
          <w:sz w:val="28"/>
          <w:szCs w:val="28"/>
        </w:rPr>
        <w:t>þþ</w:t>
      </w:r>
      <w:r>
        <w:rPr>
          <w:rFonts w:ascii="Times New Roman CYR" w:hAnsi="Times New Roman CYR" w:cs="Times New Roman CYR"/>
          <w:sz w:val="28"/>
          <w:szCs w:val="28"/>
        </w:rPr>
        <w:t xml:space="preserve">контрафактной </w:t>
      </w:r>
      <w:r>
        <w:rPr>
          <w:rFonts w:ascii="Times New Roman" w:hAnsi="Times New Roman" w:cs="Times New Roman"/>
          <w:sz w:val="28"/>
          <w:szCs w:val="28"/>
        </w:rPr>
        <w:t>þþ</w:t>
      </w:r>
      <w:r>
        <w:rPr>
          <w:rFonts w:ascii="Times New Roman CYR" w:hAnsi="Times New Roman CYR" w:cs="Times New Roman CYR"/>
          <w:sz w:val="28"/>
          <w:szCs w:val="28"/>
        </w:rPr>
        <w:t>продукции</w:t>
      </w:r>
      <w:r>
        <w:rPr>
          <w:rFonts w:ascii="Times New Roman" w:hAnsi="Times New Roman" w:cs="Times New Roman"/>
          <w:sz w:val="28"/>
          <w:szCs w:val="28"/>
        </w:rPr>
        <w:t>þ.</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Российская Федерация </w:t>
      </w:r>
      <w:r>
        <w:rPr>
          <w:rFonts w:ascii="Times New Roman" w:hAnsi="Times New Roman" w:cs="Times New Roman"/>
          <w:sz w:val="28"/>
          <w:szCs w:val="28"/>
        </w:rPr>
        <w:t>þþþþ</w:t>
      </w:r>
      <w:r>
        <w:rPr>
          <w:rFonts w:ascii="Times New Roman CYR" w:hAnsi="Times New Roman CYR" w:cs="Times New Roman CYR"/>
          <w:sz w:val="28"/>
          <w:szCs w:val="28"/>
        </w:rPr>
        <w:t xml:space="preserve"> в </w:t>
      </w:r>
      <w:r>
        <w:rPr>
          <w:rFonts w:ascii="Times New Roman" w:hAnsi="Times New Roman" w:cs="Times New Roman"/>
          <w:sz w:val="28"/>
          <w:szCs w:val="28"/>
        </w:rPr>
        <w:t>þþþþ</w:t>
      </w:r>
      <w:r>
        <w:rPr>
          <w:rFonts w:ascii="Times New Roman CYR" w:hAnsi="Times New Roman CYR" w:cs="Times New Roman CYR"/>
          <w:sz w:val="28"/>
          <w:szCs w:val="28"/>
        </w:rPr>
        <w:t xml:space="preserve"> интересах </w:t>
      </w:r>
      <w:r>
        <w:rPr>
          <w:rFonts w:ascii="Times New Roman" w:hAnsi="Times New Roman" w:cs="Times New Roman"/>
          <w:sz w:val="28"/>
          <w:szCs w:val="28"/>
        </w:rPr>
        <w:t>þþþþ</w:t>
      </w:r>
      <w:r>
        <w:rPr>
          <w:rFonts w:ascii="Times New Roman CYR" w:hAnsi="Times New Roman CYR" w:cs="Times New Roman CYR"/>
          <w:sz w:val="28"/>
          <w:szCs w:val="28"/>
        </w:rPr>
        <w:t xml:space="preserve"> продви</w:t>
      </w:r>
      <w:r>
        <w:rPr>
          <w:rFonts w:ascii="Times New Roman" w:hAnsi="Times New Roman" w:cs="Times New Roman"/>
          <w:sz w:val="28"/>
          <w:szCs w:val="28"/>
        </w:rPr>
        <w:t>þ</w:t>
      </w:r>
      <w:r>
        <w:rPr>
          <w:rFonts w:ascii="Times New Roman CYR" w:hAnsi="Times New Roman CYR" w:cs="Times New Roman CYR"/>
          <w:sz w:val="28"/>
          <w:szCs w:val="28"/>
        </w:rPr>
        <w:t>жени</w:t>
      </w:r>
      <w:r>
        <w:rPr>
          <w:rFonts w:ascii="Times New Roman" w:hAnsi="Times New Roman" w:cs="Times New Roman"/>
          <w:sz w:val="28"/>
          <w:szCs w:val="28"/>
        </w:rPr>
        <w:t>þ</w:t>
      </w:r>
      <w:r>
        <w:rPr>
          <w:rFonts w:ascii="Times New Roman CYR" w:hAnsi="Times New Roman CYR" w:cs="Times New Roman CYR"/>
          <w:sz w:val="28"/>
          <w:szCs w:val="28"/>
        </w:rPr>
        <w:t xml:space="preserve">я </w:t>
      </w:r>
      <w:r>
        <w:rPr>
          <w:rFonts w:ascii="Times New Roman" w:hAnsi="Times New Roman" w:cs="Times New Roman"/>
          <w:sz w:val="28"/>
          <w:szCs w:val="28"/>
        </w:rPr>
        <w:t>þþþþ</w:t>
      </w:r>
      <w:r>
        <w:rPr>
          <w:rFonts w:ascii="Times New Roman CYR" w:hAnsi="Times New Roman CYR" w:cs="Times New Roman CYR"/>
          <w:sz w:val="28"/>
          <w:szCs w:val="28"/>
        </w:rPr>
        <w:t xml:space="preserve"> своих </w:t>
      </w:r>
      <w:r>
        <w:rPr>
          <w:rFonts w:ascii="Times New Roman" w:hAnsi="Times New Roman" w:cs="Times New Roman"/>
          <w:sz w:val="28"/>
          <w:szCs w:val="28"/>
        </w:rPr>
        <w:t>þþþþ</w:t>
      </w:r>
      <w:r>
        <w:rPr>
          <w:rFonts w:ascii="Times New Roman CYR" w:hAnsi="Times New Roman CYR" w:cs="Times New Roman CYR"/>
          <w:sz w:val="28"/>
          <w:szCs w:val="28"/>
        </w:rPr>
        <w:t xml:space="preserve"> товаров </w:t>
      </w:r>
      <w:r>
        <w:rPr>
          <w:rFonts w:ascii="Times New Roman" w:hAnsi="Times New Roman" w:cs="Times New Roman"/>
          <w:sz w:val="28"/>
          <w:szCs w:val="28"/>
        </w:rPr>
        <w:t>þþþþ</w:t>
      </w:r>
      <w:r>
        <w:rPr>
          <w:rFonts w:ascii="Times New Roman CYR" w:hAnsi="Times New Roman CYR" w:cs="Times New Roman CYR"/>
          <w:sz w:val="28"/>
          <w:szCs w:val="28"/>
        </w:rPr>
        <w:t xml:space="preserve"> и</w:t>
      </w:r>
      <w:r>
        <w:rPr>
          <w:rFonts w:ascii="Times New Roman" w:hAnsi="Times New Roman" w:cs="Times New Roman"/>
          <w:sz w:val="28"/>
          <w:szCs w:val="28"/>
        </w:rPr>
        <w:t>þ</w:t>
      </w:r>
      <w:r>
        <w:rPr>
          <w:rFonts w:ascii="Times New Roman CYR" w:hAnsi="Times New Roman CYR" w:cs="Times New Roman CYR"/>
          <w:sz w:val="28"/>
          <w:szCs w:val="28"/>
        </w:rPr>
        <w:t xml:space="preserve"> </w:t>
      </w:r>
      <w:r>
        <w:rPr>
          <w:rFonts w:ascii="Times New Roman" w:hAnsi="Times New Roman" w:cs="Times New Roman"/>
          <w:sz w:val="28"/>
          <w:szCs w:val="28"/>
        </w:rPr>
        <w:t>þþþþ</w:t>
      </w:r>
      <w:r>
        <w:rPr>
          <w:rFonts w:ascii="Times New Roman CYR" w:hAnsi="Times New Roman CYR" w:cs="Times New Roman CYR"/>
          <w:sz w:val="28"/>
          <w:szCs w:val="28"/>
        </w:rPr>
        <w:t xml:space="preserve"> услуг </w:t>
      </w:r>
      <w:r>
        <w:rPr>
          <w:rFonts w:ascii="Times New Roman" w:hAnsi="Times New Roman" w:cs="Times New Roman"/>
          <w:sz w:val="28"/>
          <w:szCs w:val="28"/>
        </w:rPr>
        <w:t>þþþþ</w:t>
      </w:r>
      <w:r>
        <w:rPr>
          <w:rFonts w:ascii="Times New Roman CYR" w:hAnsi="Times New Roman CYR" w:cs="Times New Roman CYR"/>
          <w:sz w:val="28"/>
          <w:szCs w:val="28"/>
        </w:rPr>
        <w:t xml:space="preserve"> на мировой </w:t>
      </w:r>
      <w:r>
        <w:rPr>
          <w:rFonts w:ascii="Times New Roman" w:hAnsi="Times New Roman" w:cs="Times New Roman"/>
          <w:sz w:val="28"/>
          <w:szCs w:val="28"/>
        </w:rPr>
        <w:t>þþþþ</w:t>
      </w:r>
      <w:r>
        <w:rPr>
          <w:rFonts w:ascii="Times New Roman CYR" w:hAnsi="Times New Roman CYR" w:cs="Times New Roman CYR"/>
          <w:sz w:val="28"/>
          <w:szCs w:val="28"/>
        </w:rPr>
        <w:t xml:space="preserve"> рынок </w:t>
      </w:r>
      <w:r>
        <w:rPr>
          <w:rFonts w:ascii="Times New Roman" w:hAnsi="Times New Roman" w:cs="Times New Roman"/>
          <w:sz w:val="28"/>
          <w:szCs w:val="28"/>
        </w:rPr>
        <w:t>þþþþ</w:t>
      </w:r>
      <w:r>
        <w:rPr>
          <w:rFonts w:ascii="Times New Roman CYR" w:hAnsi="Times New Roman CYR" w:cs="Times New Roman CYR"/>
          <w:sz w:val="28"/>
          <w:szCs w:val="28"/>
        </w:rPr>
        <w:t xml:space="preserve"> стремится </w:t>
      </w:r>
      <w:r>
        <w:rPr>
          <w:rFonts w:ascii="Times New Roman" w:hAnsi="Times New Roman" w:cs="Times New Roman"/>
          <w:sz w:val="28"/>
          <w:szCs w:val="28"/>
        </w:rPr>
        <w:t>þþþþ</w:t>
      </w:r>
      <w:r>
        <w:rPr>
          <w:rFonts w:ascii="Times New Roman CYR" w:hAnsi="Times New Roman CYR" w:cs="Times New Roman CYR"/>
          <w:sz w:val="28"/>
          <w:szCs w:val="28"/>
        </w:rPr>
        <w:t xml:space="preserve"> к </w:t>
      </w:r>
      <w:r>
        <w:rPr>
          <w:rFonts w:ascii="Times New Roman" w:hAnsi="Times New Roman" w:cs="Times New Roman"/>
          <w:sz w:val="28"/>
          <w:szCs w:val="28"/>
        </w:rPr>
        <w:t>þþþþ</w:t>
      </w:r>
      <w:r>
        <w:rPr>
          <w:rFonts w:ascii="Times New Roman CYR" w:hAnsi="Times New Roman CYR" w:cs="Times New Roman CYR"/>
          <w:sz w:val="28"/>
          <w:szCs w:val="28"/>
        </w:rPr>
        <w:t xml:space="preserve"> вступлению </w:t>
      </w:r>
      <w:r>
        <w:rPr>
          <w:rFonts w:ascii="Times New Roman" w:hAnsi="Times New Roman" w:cs="Times New Roman"/>
          <w:sz w:val="28"/>
          <w:szCs w:val="28"/>
        </w:rPr>
        <w:t>þþþþ</w:t>
      </w:r>
      <w:r>
        <w:rPr>
          <w:rFonts w:ascii="Times New Roman CYR" w:hAnsi="Times New Roman CYR" w:cs="Times New Roman CYR"/>
          <w:sz w:val="28"/>
          <w:szCs w:val="28"/>
        </w:rPr>
        <w:t xml:space="preserve"> в </w:t>
      </w:r>
      <w:r>
        <w:rPr>
          <w:rFonts w:ascii="Times New Roman" w:hAnsi="Times New Roman" w:cs="Times New Roman"/>
          <w:sz w:val="28"/>
          <w:szCs w:val="28"/>
        </w:rPr>
        <w:t>þþþþ</w:t>
      </w:r>
      <w:r>
        <w:rPr>
          <w:rFonts w:ascii="Times New Roman CYR" w:hAnsi="Times New Roman CYR" w:cs="Times New Roman CYR"/>
          <w:sz w:val="28"/>
          <w:szCs w:val="28"/>
        </w:rPr>
        <w:t xml:space="preserve"> разнообразные </w:t>
      </w:r>
      <w:r>
        <w:rPr>
          <w:rFonts w:ascii="Times New Roman" w:hAnsi="Times New Roman" w:cs="Times New Roman"/>
          <w:sz w:val="28"/>
          <w:szCs w:val="28"/>
        </w:rPr>
        <w:t>þþþþ</w:t>
      </w:r>
      <w:r>
        <w:rPr>
          <w:rFonts w:ascii="Times New Roman CYR" w:hAnsi="Times New Roman CYR" w:cs="Times New Roman CYR"/>
          <w:sz w:val="28"/>
          <w:szCs w:val="28"/>
        </w:rPr>
        <w:t xml:space="preserve"> интеграционные </w:t>
      </w:r>
      <w:r>
        <w:rPr>
          <w:rFonts w:ascii="Times New Roman" w:hAnsi="Times New Roman" w:cs="Times New Roman"/>
          <w:sz w:val="28"/>
          <w:szCs w:val="28"/>
        </w:rPr>
        <w:t>þþ</w:t>
      </w:r>
      <w:r>
        <w:rPr>
          <w:rFonts w:ascii="Times New Roman CYR" w:hAnsi="Times New Roman CYR" w:cs="Times New Roman CYR"/>
          <w:sz w:val="28"/>
          <w:szCs w:val="28"/>
        </w:rPr>
        <w:t xml:space="preserve">процессы </w:t>
      </w:r>
      <w:r>
        <w:rPr>
          <w:rFonts w:ascii="Times New Roman" w:hAnsi="Times New Roman" w:cs="Times New Roman"/>
          <w:sz w:val="28"/>
          <w:szCs w:val="28"/>
        </w:rPr>
        <w:t>þþþ</w:t>
      </w:r>
      <w:r>
        <w:rPr>
          <w:rFonts w:ascii="Times New Roman CYR" w:hAnsi="Times New Roman CYR" w:cs="Times New Roman CYR"/>
          <w:sz w:val="28"/>
          <w:szCs w:val="28"/>
        </w:rPr>
        <w:t xml:space="preserve">путем </w:t>
      </w:r>
      <w:r>
        <w:rPr>
          <w:rFonts w:ascii="Times New Roman" w:hAnsi="Times New Roman" w:cs="Times New Roman"/>
          <w:sz w:val="28"/>
          <w:szCs w:val="28"/>
        </w:rPr>
        <w:t>þþþþ</w:t>
      </w:r>
      <w:r>
        <w:rPr>
          <w:rFonts w:ascii="Times New Roman CYR" w:hAnsi="Times New Roman CYR" w:cs="Times New Roman CYR"/>
          <w:sz w:val="28"/>
          <w:szCs w:val="28"/>
        </w:rPr>
        <w:t>заключения</w:t>
      </w:r>
      <w:r>
        <w:rPr>
          <w:rFonts w:ascii="Times New Roman" w:hAnsi="Times New Roman" w:cs="Times New Roman"/>
          <w:sz w:val="28"/>
          <w:szCs w:val="28"/>
        </w:rPr>
        <w:t>þ</w:t>
      </w:r>
      <w:r>
        <w:rPr>
          <w:rFonts w:ascii="Times New Roman CYR" w:hAnsi="Times New Roman CYR" w:cs="Times New Roman CYR"/>
          <w:sz w:val="28"/>
          <w:szCs w:val="28"/>
        </w:rPr>
        <w:t xml:space="preserve"> международных соглашени</w:t>
      </w:r>
      <w:r>
        <w:rPr>
          <w:rFonts w:ascii="Times New Roman" w:hAnsi="Times New Roman" w:cs="Times New Roman"/>
          <w:sz w:val="28"/>
          <w:szCs w:val="28"/>
        </w:rPr>
        <w:t>þ</w:t>
      </w:r>
      <w:r>
        <w:rPr>
          <w:rFonts w:ascii="Times New Roman CYR" w:hAnsi="Times New Roman CYR" w:cs="Times New Roman CYR"/>
          <w:sz w:val="28"/>
          <w:szCs w:val="28"/>
        </w:rPr>
        <w:t xml:space="preserve">й, </w:t>
      </w:r>
      <w:r>
        <w:rPr>
          <w:rFonts w:ascii="Times New Roman" w:hAnsi="Times New Roman" w:cs="Times New Roman"/>
          <w:sz w:val="28"/>
          <w:szCs w:val="28"/>
        </w:rPr>
        <w:t>þþ</w:t>
      </w:r>
      <w:r>
        <w:rPr>
          <w:rFonts w:ascii="Times New Roman CYR" w:hAnsi="Times New Roman CYR" w:cs="Times New Roman CYR"/>
          <w:sz w:val="28"/>
          <w:szCs w:val="28"/>
        </w:rPr>
        <w:t>создани</w:t>
      </w:r>
      <w:r>
        <w:rPr>
          <w:rFonts w:ascii="Times New Roman" w:hAnsi="Times New Roman" w:cs="Times New Roman"/>
          <w:sz w:val="28"/>
          <w:szCs w:val="28"/>
        </w:rPr>
        <w:t>þ</w:t>
      </w:r>
      <w:r>
        <w:rPr>
          <w:rFonts w:ascii="Times New Roman CYR" w:hAnsi="Times New Roman CYR" w:cs="Times New Roman CYR"/>
          <w:sz w:val="28"/>
          <w:szCs w:val="28"/>
        </w:rPr>
        <w:t>я международных межправи</w:t>
      </w:r>
      <w:r>
        <w:rPr>
          <w:rFonts w:ascii="Times New Roman" w:hAnsi="Times New Roman" w:cs="Times New Roman"/>
          <w:sz w:val="28"/>
          <w:szCs w:val="28"/>
        </w:rPr>
        <w:t>þ</w:t>
      </w:r>
      <w:r>
        <w:rPr>
          <w:rFonts w:ascii="Times New Roman CYR" w:hAnsi="Times New Roman CYR" w:cs="Times New Roman CYR"/>
          <w:sz w:val="28"/>
          <w:szCs w:val="28"/>
        </w:rPr>
        <w:t xml:space="preserve">тельственных </w:t>
      </w:r>
      <w:r>
        <w:rPr>
          <w:rFonts w:ascii="Times New Roman" w:hAnsi="Times New Roman" w:cs="Times New Roman"/>
          <w:sz w:val="28"/>
          <w:szCs w:val="28"/>
        </w:rPr>
        <w:t>þþ</w:t>
      </w:r>
      <w:r>
        <w:rPr>
          <w:rFonts w:ascii="Times New Roman CYR" w:hAnsi="Times New Roman CYR" w:cs="Times New Roman CYR"/>
          <w:sz w:val="28"/>
          <w:szCs w:val="28"/>
        </w:rPr>
        <w:t>органи</w:t>
      </w:r>
      <w:r>
        <w:rPr>
          <w:rFonts w:ascii="Times New Roman" w:hAnsi="Times New Roman" w:cs="Times New Roman"/>
          <w:sz w:val="28"/>
          <w:szCs w:val="28"/>
        </w:rPr>
        <w:t>þ</w:t>
      </w:r>
      <w:r>
        <w:rPr>
          <w:rFonts w:ascii="Times New Roman CYR" w:hAnsi="Times New Roman CYR" w:cs="Times New Roman CYR"/>
          <w:sz w:val="28"/>
          <w:szCs w:val="28"/>
        </w:rPr>
        <w:t>заци</w:t>
      </w:r>
      <w:r>
        <w:rPr>
          <w:rFonts w:ascii="Times New Roman" w:hAnsi="Times New Roman" w:cs="Times New Roman"/>
          <w:sz w:val="28"/>
          <w:szCs w:val="28"/>
        </w:rPr>
        <w:t>þ</w:t>
      </w:r>
      <w:r>
        <w:rPr>
          <w:rFonts w:ascii="Times New Roman CYR" w:hAnsi="Times New Roman CYR" w:cs="Times New Roman CYR"/>
          <w:sz w:val="28"/>
          <w:szCs w:val="28"/>
        </w:rPr>
        <w:t>й, создани</w:t>
      </w:r>
      <w:r>
        <w:rPr>
          <w:rFonts w:ascii="Times New Roman" w:hAnsi="Times New Roman" w:cs="Times New Roman"/>
          <w:sz w:val="28"/>
          <w:szCs w:val="28"/>
        </w:rPr>
        <w:t>þ</w:t>
      </w:r>
      <w:r>
        <w:rPr>
          <w:rFonts w:ascii="Times New Roman CYR" w:hAnsi="Times New Roman CYR" w:cs="Times New Roman CYR"/>
          <w:sz w:val="28"/>
          <w:szCs w:val="28"/>
        </w:rPr>
        <w:t>я международных органи</w:t>
      </w:r>
      <w:r>
        <w:rPr>
          <w:rFonts w:ascii="Times New Roman" w:hAnsi="Times New Roman" w:cs="Times New Roman"/>
          <w:sz w:val="28"/>
          <w:szCs w:val="28"/>
        </w:rPr>
        <w:t>þ</w:t>
      </w:r>
      <w:r>
        <w:rPr>
          <w:rFonts w:ascii="Times New Roman CYR" w:hAnsi="Times New Roman CYR" w:cs="Times New Roman CYR"/>
          <w:sz w:val="28"/>
          <w:szCs w:val="28"/>
        </w:rPr>
        <w:t>заци</w:t>
      </w:r>
      <w:r>
        <w:rPr>
          <w:rFonts w:ascii="Times New Roman" w:hAnsi="Times New Roman" w:cs="Times New Roman"/>
          <w:sz w:val="28"/>
          <w:szCs w:val="28"/>
        </w:rPr>
        <w:t>þ</w:t>
      </w:r>
      <w:r>
        <w:rPr>
          <w:rFonts w:ascii="Times New Roman CYR" w:hAnsi="Times New Roman CYR" w:cs="Times New Roman CYR"/>
          <w:sz w:val="28"/>
          <w:szCs w:val="28"/>
        </w:rPr>
        <w:t xml:space="preserve">й.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Ми</w:t>
      </w:r>
      <w:r>
        <w:rPr>
          <w:rFonts w:ascii="Times New Roman" w:hAnsi="Times New Roman" w:cs="Times New Roman"/>
          <w:sz w:val="28"/>
          <w:szCs w:val="28"/>
        </w:rPr>
        <w:t>þ</w:t>
      </w:r>
      <w:r>
        <w:rPr>
          <w:rFonts w:ascii="Times New Roman CYR" w:hAnsi="Times New Roman CYR" w:cs="Times New Roman CYR"/>
          <w:sz w:val="28"/>
          <w:szCs w:val="28"/>
        </w:rPr>
        <w:t>ровой экономи</w:t>
      </w:r>
      <w:r>
        <w:rPr>
          <w:rFonts w:ascii="Times New Roman" w:hAnsi="Times New Roman" w:cs="Times New Roman"/>
          <w:sz w:val="28"/>
          <w:szCs w:val="28"/>
        </w:rPr>
        <w:t>þ</w:t>
      </w:r>
      <w:r>
        <w:rPr>
          <w:rFonts w:ascii="Times New Roman CYR" w:hAnsi="Times New Roman CYR" w:cs="Times New Roman CYR"/>
          <w:sz w:val="28"/>
          <w:szCs w:val="28"/>
        </w:rPr>
        <w:t>чески</w:t>
      </w:r>
      <w:r>
        <w:rPr>
          <w:rFonts w:ascii="Times New Roman" w:hAnsi="Times New Roman" w:cs="Times New Roman"/>
          <w:sz w:val="28"/>
          <w:szCs w:val="28"/>
        </w:rPr>
        <w:t>þ</w:t>
      </w:r>
      <w:r>
        <w:rPr>
          <w:rFonts w:ascii="Times New Roman CYR" w:hAnsi="Times New Roman CYR" w:cs="Times New Roman CYR"/>
          <w:sz w:val="28"/>
          <w:szCs w:val="28"/>
        </w:rPr>
        <w:t>й кри</w:t>
      </w:r>
      <w:r>
        <w:rPr>
          <w:rFonts w:ascii="Times New Roman" w:hAnsi="Times New Roman" w:cs="Times New Roman"/>
          <w:sz w:val="28"/>
          <w:szCs w:val="28"/>
        </w:rPr>
        <w:t>þ</w:t>
      </w:r>
      <w:r>
        <w:rPr>
          <w:rFonts w:ascii="Times New Roman CYR" w:hAnsi="Times New Roman CYR" w:cs="Times New Roman CYR"/>
          <w:sz w:val="28"/>
          <w:szCs w:val="28"/>
        </w:rPr>
        <w:t>зи</w:t>
      </w:r>
      <w:r>
        <w:rPr>
          <w:rFonts w:ascii="Times New Roman" w:hAnsi="Times New Roman" w:cs="Times New Roman"/>
          <w:sz w:val="28"/>
          <w:szCs w:val="28"/>
        </w:rPr>
        <w:t>þ</w:t>
      </w:r>
      <w:r>
        <w:rPr>
          <w:rFonts w:ascii="Times New Roman CYR" w:hAnsi="Times New Roman CYR" w:cs="Times New Roman CYR"/>
          <w:sz w:val="28"/>
          <w:szCs w:val="28"/>
        </w:rPr>
        <w:t>с оказался серьезным тестом на эффекти</w:t>
      </w:r>
      <w:r>
        <w:rPr>
          <w:rFonts w:ascii="Times New Roman" w:hAnsi="Times New Roman" w:cs="Times New Roman"/>
          <w:sz w:val="28"/>
          <w:szCs w:val="28"/>
        </w:rPr>
        <w:t>þ</w:t>
      </w:r>
      <w:r>
        <w:rPr>
          <w:rFonts w:ascii="Times New Roman CYR" w:hAnsi="Times New Roman CYR" w:cs="Times New Roman CYR"/>
          <w:sz w:val="28"/>
          <w:szCs w:val="28"/>
        </w:rPr>
        <w:t>вность и</w:t>
      </w:r>
      <w:r>
        <w:rPr>
          <w:rFonts w:ascii="Times New Roman" w:hAnsi="Times New Roman" w:cs="Times New Roman"/>
          <w:sz w:val="28"/>
          <w:szCs w:val="28"/>
        </w:rPr>
        <w:t>þ</w:t>
      </w:r>
      <w:r>
        <w:rPr>
          <w:rFonts w:ascii="Times New Roman CYR" w:hAnsi="Times New Roman CYR" w:cs="Times New Roman CYR"/>
          <w:sz w:val="28"/>
          <w:szCs w:val="28"/>
        </w:rPr>
        <w:t>нтеграци</w:t>
      </w:r>
      <w:r>
        <w:rPr>
          <w:rFonts w:ascii="Times New Roman" w:hAnsi="Times New Roman" w:cs="Times New Roman"/>
          <w:sz w:val="28"/>
          <w:szCs w:val="28"/>
        </w:rPr>
        <w:t>þ</w:t>
      </w:r>
      <w:r>
        <w:rPr>
          <w:rFonts w:ascii="Times New Roman CYR" w:hAnsi="Times New Roman CYR" w:cs="Times New Roman CYR"/>
          <w:sz w:val="28"/>
          <w:szCs w:val="28"/>
        </w:rPr>
        <w:t>онных объеди</w:t>
      </w:r>
      <w:r>
        <w:rPr>
          <w:rFonts w:ascii="Times New Roman" w:hAnsi="Times New Roman" w:cs="Times New Roman"/>
          <w:sz w:val="28"/>
          <w:szCs w:val="28"/>
        </w:rPr>
        <w:t>þ</w:t>
      </w:r>
      <w:r>
        <w:rPr>
          <w:rFonts w:ascii="Times New Roman CYR" w:hAnsi="Times New Roman CYR" w:cs="Times New Roman CYR"/>
          <w:sz w:val="28"/>
          <w:szCs w:val="28"/>
        </w:rPr>
        <w:t>нени</w:t>
      </w:r>
      <w:r>
        <w:rPr>
          <w:rFonts w:ascii="Times New Roman" w:hAnsi="Times New Roman" w:cs="Times New Roman"/>
          <w:sz w:val="28"/>
          <w:szCs w:val="28"/>
        </w:rPr>
        <w:t>þ</w:t>
      </w:r>
      <w:r>
        <w:rPr>
          <w:rFonts w:ascii="Times New Roman CYR" w:hAnsi="Times New Roman CYR" w:cs="Times New Roman CYR"/>
          <w:sz w:val="28"/>
          <w:szCs w:val="28"/>
        </w:rPr>
        <w:t>й. Объеди</w:t>
      </w:r>
      <w:r>
        <w:rPr>
          <w:rFonts w:ascii="Times New Roman" w:hAnsi="Times New Roman" w:cs="Times New Roman"/>
          <w:sz w:val="28"/>
          <w:szCs w:val="28"/>
        </w:rPr>
        <w:t>þ</w:t>
      </w:r>
      <w:r>
        <w:rPr>
          <w:rFonts w:ascii="Times New Roman CYR" w:hAnsi="Times New Roman CYR" w:cs="Times New Roman CYR"/>
          <w:sz w:val="28"/>
          <w:szCs w:val="28"/>
        </w:rPr>
        <w:t>нени</w:t>
      </w:r>
      <w:r>
        <w:rPr>
          <w:rFonts w:ascii="Times New Roman" w:hAnsi="Times New Roman" w:cs="Times New Roman"/>
          <w:sz w:val="28"/>
          <w:szCs w:val="28"/>
        </w:rPr>
        <w:t>þ</w:t>
      </w:r>
      <w:r>
        <w:rPr>
          <w:rFonts w:ascii="Times New Roman CYR" w:hAnsi="Times New Roman CYR" w:cs="Times New Roman CYR"/>
          <w:sz w:val="28"/>
          <w:szCs w:val="28"/>
        </w:rPr>
        <w:t>я государств в разли</w:t>
      </w:r>
      <w:r>
        <w:rPr>
          <w:rFonts w:ascii="Times New Roman" w:hAnsi="Times New Roman" w:cs="Times New Roman"/>
          <w:sz w:val="28"/>
          <w:szCs w:val="28"/>
        </w:rPr>
        <w:t>þ</w:t>
      </w:r>
      <w:r>
        <w:rPr>
          <w:rFonts w:ascii="Times New Roman CYR" w:hAnsi="Times New Roman CYR" w:cs="Times New Roman CYR"/>
          <w:sz w:val="28"/>
          <w:szCs w:val="28"/>
        </w:rPr>
        <w:t>чных формах делают наци</w:t>
      </w:r>
      <w:r>
        <w:rPr>
          <w:rFonts w:ascii="Times New Roman" w:hAnsi="Times New Roman" w:cs="Times New Roman"/>
          <w:sz w:val="28"/>
          <w:szCs w:val="28"/>
        </w:rPr>
        <w:t>þ</w:t>
      </w:r>
      <w:r>
        <w:rPr>
          <w:rFonts w:ascii="Times New Roman CYR" w:hAnsi="Times New Roman CYR" w:cs="Times New Roman CYR"/>
          <w:sz w:val="28"/>
          <w:szCs w:val="28"/>
        </w:rPr>
        <w:t>ональные экономи</w:t>
      </w:r>
      <w:r>
        <w:rPr>
          <w:rFonts w:ascii="Times New Roman" w:hAnsi="Times New Roman" w:cs="Times New Roman"/>
          <w:sz w:val="28"/>
          <w:szCs w:val="28"/>
        </w:rPr>
        <w:t>þ</w:t>
      </w:r>
      <w:r>
        <w:rPr>
          <w:rFonts w:ascii="Times New Roman CYR" w:hAnsi="Times New Roman CYR" w:cs="Times New Roman CYR"/>
          <w:sz w:val="28"/>
          <w:szCs w:val="28"/>
        </w:rPr>
        <w:t>ки</w:t>
      </w:r>
      <w:r>
        <w:rPr>
          <w:rFonts w:ascii="Times New Roman" w:hAnsi="Times New Roman" w:cs="Times New Roman"/>
          <w:sz w:val="28"/>
          <w:szCs w:val="28"/>
        </w:rPr>
        <w:t>þ</w:t>
      </w:r>
      <w:r>
        <w:rPr>
          <w:rFonts w:ascii="Times New Roman CYR" w:hAnsi="Times New Roman CYR" w:cs="Times New Roman CYR"/>
          <w:sz w:val="28"/>
          <w:szCs w:val="28"/>
        </w:rPr>
        <w:t xml:space="preserve"> государств-союзни</w:t>
      </w:r>
      <w:r>
        <w:rPr>
          <w:rFonts w:ascii="Times New Roman" w:hAnsi="Times New Roman" w:cs="Times New Roman"/>
          <w:sz w:val="28"/>
          <w:szCs w:val="28"/>
        </w:rPr>
        <w:t>þ</w:t>
      </w:r>
      <w:r>
        <w:rPr>
          <w:rFonts w:ascii="Times New Roman CYR" w:hAnsi="Times New Roman CYR" w:cs="Times New Roman CYR"/>
          <w:sz w:val="28"/>
          <w:szCs w:val="28"/>
        </w:rPr>
        <w:t>ков значи</w:t>
      </w:r>
      <w:r>
        <w:rPr>
          <w:rFonts w:ascii="Times New Roman" w:hAnsi="Times New Roman" w:cs="Times New Roman"/>
          <w:sz w:val="28"/>
          <w:szCs w:val="28"/>
        </w:rPr>
        <w:t>þ</w:t>
      </w:r>
      <w:r>
        <w:rPr>
          <w:rFonts w:ascii="Times New Roman CYR" w:hAnsi="Times New Roman CYR" w:cs="Times New Roman CYR"/>
          <w:sz w:val="28"/>
          <w:szCs w:val="28"/>
        </w:rPr>
        <w:t>тельно си</w:t>
      </w:r>
      <w:r>
        <w:rPr>
          <w:rFonts w:ascii="Times New Roman" w:hAnsi="Times New Roman" w:cs="Times New Roman"/>
          <w:sz w:val="28"/>
          <w:szCs w:val="28"/>
        </w:rPr>
        <w:t>þ</w:t>
      </w:r>
      <w:r>
        <w:rPr>
          <w:rFonts w:ascii="Times New Roman CYR" w:hAnsi="Times New Roman CYR" w:cs="Times New Roman CYR"/>
          <w:sz w:val="28"/>
          <w:szCs w:val="28"/>
        </w:rPr>
        <w:t>льнее, позволяют его участни</w:t>
      </w:r>
      <w:r>
        <w:rPr>
          <w:rFonts w:ascii="Times New Roman" w:hAnsi="Times New Roman" w:cs="Times New Roman"/>
          <w:sz w:val="28"/>
          <w:szCs w:val="28"/>
        </w:rPr>
        <w:t>þ</w:t>
      </w:r>
      <w:r>
        <w:rPr>
          <w:rFonts w:ascii="Times New Roman CYR" w:hAnsi="Times New Roman CYR" w:cs="Times New Roman CYR"/>
          <w:sz w:val="28"/>
          <w:szCs w:val="28"/>
        </w:rPr>
        <w:t>кам выступать еди</w:t>
      </w:r>
      <w:r>
        <w:rPr>
          <w:rFonts w:ascii="Times New Roman" w:hAnsi="Times New Roman" w:cs="Times New Roman"/>
          <w:sz w:val="28"/>
          <w:szCs w:val="28"/>
        </w:rPr>
        <w:t>þ</w:t>
      </w:r>
      <w:r>
        <w:rPr>
          <w:rFonts w:ascii="Times New Roman CYR" w:hAnsi="Times New Roman CYR" w:cs="Times New Roman CYR"/>
          <w:sz w:val="28"/>
          <w:szCs w:val="28"/>
        </w:rPr>
        <w:t>ным и</w:t>
      </w:r>
      <w:r>
        <w:rPr>
          <w:rFonts w:ascii="Times New Roman" w:hAnsi="Times New Roman" w:cs="Times New Roman"/>
          <w:sz w:val="28"/>
          <w:szCs w:val="28"/>
        </w:rPr>
        <w:t>þ</w:t>
      </w:r>
      <w:r>
        <w:rPr>
          <w:rFonts w:ascii="Times New Roman CYR" w:hAnsi="Times New Roman CYR" w:cs="Times New Roman CYR"/>
          <w:sz w:val="28"/>
          <w:szCs w:val="28"/>
        </w:rPr>
        <w:t>нтегри</w:t>
      </w:r>
      <w:r>
        <w:rPr>
          <w:rFonts w:ascii="Times New Roman" w:hAnsi="Times New Roman" w:cs="Times New Roman"/>
          <w:sz w:val="28"/>
          <w:szCs w:val="28"/>
        </w:rPr>
        <w:t>þ</w:t>
      </w:r>
      <w:r>
        <w:rPr>
          <w:rFonts w:ascii="Times New Roman CYR" w:hAnsi="Times New Roman CYR" w:cs="Times New Roman CYR"/>
          <w:sz w:val="28"/>
          <w:szCs w:val="28"/>
        </w:rPr>
        <w:t>рованным блоком в международных отношени</w:t>
      </w:r>
      <w:r>
        <w:rPr>
          <w:rFonts w:ascii="Times New Roman" w:hAnsi="Times New Roman" w:cs="Times New Roman"/>
          <w:sz w:val="28"/>
          <w:szCs w:val="28"/>
        </w:rPr>
        <w:t>þ</w:t>
      </w:r>
      <w:r>
        <w:rPr>
          <w:rFonts w:ascii="Times New Roman CYR" w:hAnsi="Times New Roman CYR" w:cs="Times New Roman CYR"/>
          <w:sz w:val="28"/>
          <w:szCs w:val="28"/>
        </w:rPr>
        <w:t>ях, увели</w:t>
      </w:r>
      <w:r>
        <w:rPr>
          <w:rFonts w:ascii="Times New Roman" w:hAnsi="Times New Roman" w:cs="Times New Roman"/>
          <w:sz w:val="28"/>
          <w:szCs w:val="28"/>
        </w:rPr>
        <w:t>þ</w:t>
      </w:r>
      <w:r>
        <w:rPr>
          <w:rFonts w:ascii="Times New Roman CYR" w:hAnsi="Times New Roman CYR" w:cs="Times New Roman CYR"/>
          <w:sz w:val="28"/>
          <w:szCs w:val="28"/>
        </w:rPr>
        <w:t>чи</w:t>
      </w:r>
      <w:r>
        <w:rPr>
          <w:rFonts w:ascii="Times New Roman" w:hAnsi="Times New Roman" w:cs="Times New Roman"/>
          <w:sz w:val="28"/>
          <w:szCs w:val="28"/>
        </w:rPr>
        <w:t>þ</w:t>
      </w:r>
      <w:r>
        <w:rPr>
          <w:rFonts w:ascii="Times New Roman CYR" w:hAnsi="Times New Roman CYR" w:cs="Times New Roman CYR"/>
          <w:sz w:val="28"/>
          <w:szCs w:val="28"/>
        </w:rPr>
        <w:t>вают поли</w:t>
      </w:r>
      <w:r>
        <w:rPr>
          <w:rFonts w:ascii="Times New Roman" w:hAnsi="Times New Roman" w:cs="Times New Roman"/>
          <w:sz w:val="28"/>
          <w:szCs w:val="28"/>
        </w:rPr>
        <w:t>þ</w:t>
      </w:r>
      <w:r>
        <w:rPr>
          <w:rFonts w:ascii="Times New Roman CYR" w:hAnsi="Times New Roman CYR" w:cs="Times New Roman CYR"/>
          <w:sz w:val="28"/>
          <w:szCs w:val="28"/>
        </w:rPr>
        <w:t>ти</w:t>
      </w:r>
      <w:r>
        <w:rPr>
          <w:rFonts w:ascii="Times New Roman" w:hAnsi="Times New Roman" w:cs="Times New Roman"/>
          <w:sz w:val="28"/>
          <w:szCs w:val="28"/>
        </w:rPr>
        <w:t>þ</w:t>
      </w:r>
      <w:r>
        <w:rPr>
          <w:rFonts w:ascii="Times New Roman CYR" w:hAnsi="Times New Roman CYR" w:cs="Times New Roman CYR"/>
          <w:sz w:val="28"/>
          <w:szCs w:val="28"/>
        </w:rPr>
        <w:t>чески</w:t>
      </w:r>
      <w:r>
        <w:rPr>
          <w:rFonts w:ascii="Times New Roman" w:hAnsi="Times New Roman" w:cs="Times New Roman"/>
          <w:sz w:val="28"/>
          <w:szCs w:val="28"/>
        </w:rPr>
        <w:t>þ</w:t>
      </w:r>
      <w:r>
        <w:rPr>
          <w:rFonts w:ascii="Times New Roman CYR" w:hAnsi="Times New Roman CYR" w:cs="Times New Roman CYR"/>
          <w:sz w:val="28"/>
          <w:szCs w:val="28"/>
        </w:rPr>
        <w:t>й и</w:t>
      </w:r>
      <w:r>
        <w:rPr>
          <w:rFonts w:ascii="Times New Roman" w:hAnsi="Times New Roman" w:cs="Times New Roman"/>
          <w:sz w:val="28"/>
          <w:szCs w:val="28"/>
        </w:rPr>
        <w:t>þ</w:t>
      </w:r>
      <w:r>
        <w:rPr>
          <w:rFonts w:ascii="Times New Roman CYR" w:hAnsi="Times New Roman CYR" w:cs="Times New Roman CYR"/>
          <w:sz w:val="28"/>
          <w:szCs w:val="28"/>
        </w:rPr>
        <w:t xml:space="preserve"> экономи</w:t>
      </w:r>
      <w:r>
        <w:rPr>
          <w:rFonts w:ascii="Times New Roman" w:hAnsi="Times New Roman" w:cs="Times New Roman"/>
          <w:sz w:val="28"/>
          <w:szCs w:val="28"/>
        </w:rPr>
        <w:t>þ</w:t>
      </w:r>
      <w:r>
        <w:rPr>
          <w:rFonts w:ascii="Times New Roman CYR" w:hAnsi="Times New Roman CYR" w:cs="Times New Roman CYR"/>
          <w:sz w:val="28"/>
          <w:szCs w:val="28"/>
        </w:rPr>
        <w:t>чески</w:t>
      </w:r>
      <w:r>
        <w:rPr>
          <w:rFonts w:ascii="Times New Roman" w:hAnsi="Times New Roman" w:cs="Times New Roman"/>
          <w:sz w:val="28"/>
          <w:szCs w:val="28"/>
        </w:rPr>
        <w:t>þ</w:t>
      </w:r>
      <w:r>
        <w:rPr>
          <w:rFonts w:ascii="Times New Roman CYR" w:hAnsi="Times New Roman CYR" w:cs="Times New Roman CYR"/>
          <w:sz w:val="28"/>
          <w:szCs w:val="28"/>
        </w:rPr>
        <w:t>й вес государств в глобальном масштабе, а также открывают больши</w:t>
      </w:r>
      <w:r>
        <w:rPr>
          <w:rFonts w:ascii="Times New Roman" w:hAnsi="Times New Roman" w:cs="Times New Roman"/>
          <w:sz w:val="28"/>
          <w:szCs w:val="28"/>
        </w:rPr>
        <w:t>þ</w:t>
      </w:r>
      <w:r>
        <w:rPr>
          <w:rFonts w:ascii="Times New Roman CYR" w:hAnsi="Times New Roman CYR" w:cs="Times New Roman CYR"/>
          <w:sz w:val="28"/>
          <w:szCs w:val="28"/>
        </w:rPr>
        <w:t>е перспекти</w:t>
      </w:r>
      <w:r>
        <w:rPr>
          <w:rFonts w:ascii="Times New Roman" w:hAnsi="Times New Roman" w:cs="Times New Roman"/>
          <w:sz w:val="28"/>
          <w:szCs w:val="28"/>
        </w:rPr>
        <w:t>þ</w:t>
      </w:r>
      <w:r>
        <w:rPr>
          <w:rFonts w:ascii="Times New Roman CYR" w:hAnsi="Times New Roman CYR" w:cs="Times New Roman CYR"/>
          <w:sz w:val="28"/>
          <w:szCs w:val="28"/>
        </w:rPr>
        <w:t>вы для хозяйствующи</w:t>
      </w:r>
      <w:r>
        <w:rPr>
          <w:rFonts w:ascii="Times New Roman" w:hAnsi="Times New Roman" w:cs="Times New Roman"/>
          <w:sz w:val="28"/>
          <w:szCs w:val="28"/>
        </w:rPr>
        <w:t>þ</w:t>
      </w:r>
      <w:r>
        <w:rPr>
          <w:rFonts w:ascii="Times New Roman CYR" w:hAnsi="Times New Roman CYR" w:cs="Times New Roman CYR"/>
          <w:sz w:val="28"/>
          <w:szCs w:val="28"/>
        </w:rPr>
        <w:t>х субъектов и</w:t>
      </w:r>
      <w:r>
        <w:rPr>
          <w:rFonts w:ascii="Times New Roman" w:hAnsi="Times New Roman" w:cs="Times New Roman"/>
          <w:sz w:val="28"/>
          <w:szCs w:val="28"/>
        </w:rPr>
        <w:t>þ</w:t>
      </w:r>
      <w:r>
        <w:rPr>
          <w:rFonts w:ascii="Times New Roman CYR" w:hAnsi="Times New Roman CYR" w:cs="Times New Roman CYR"/>
          <w:sz w:val="28"/>
          <w:szCs w:val="28"/>
        </w:rPr>
        <w:t xml:space="preserve"> частных ли</w:t>
      </w:r>
      <w:r>
        <w:rPr>
          <w:rFonts w:ascii="Times New Roman" w:hAnsi="Times New Roman" w:cs="Times New Roman"/>
          <w:sz w:val="28"/>
          <w:szCs w:val="28"/>
        </w:rPr>
        <w:t>þ</w:t>
      </w:r>
      <w:r>
        <w:rPr>
          <w:rFonts w:ascii="Times New Roman CYR" w:hAnsi="Times New Roman CYR" w:cs="Times New Roman CYR"/>
          <w:sz w:val="28"/>
          <w:szCs w:val="28"/>
        </w:rPr>
        <w:t xml:space="preserve">ц данных стран.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w:t>
      </w:r>
      <w:r>
        <w:rPr>
          <w:rFonts w:ascii="Times New Roman" w:hAnsi="Times New Roman" w:cs="Times New Roman"/>
          <w:sz w:val="28"/>
          <w:szCs w:val="28"/>
        </w:rPr>
        <w:t>þ</w:t>
      </w:r>
      <w:r>
        <w:rPr>
          <w:rFonts w:ascii="Times New Roman CYR" w:hAnsi="Times New Roman CYR" w:cs="Times New Roman CYR"/>
          <w:sz w:val="28"/>
          <w:szCs w:val="28"/>
        </w:rPr>
        <w:t>чи</w:t>
      </w:r>
      <w:r>
        <w:rPr>
          <w:rFonts w:ascii="Times New Roman" w:hAnsi="Times New Roman" w:cs="Times New Roman"/>
          <w:sz w:val="28"/>
          <w:szCs w:val="28"/>
        </w:rPr>
        <w:t>þ</w:t>
      </w:r>
      <w:r>
        <w:rPr>
          <w:rFonts w:ascii="Times New Roman CYR" w:hAnsi="Times New Roman CYR" w:cs="Times New Roman CYR"/>
          <w:sz w:val="28"/>
          <w:szCs w:val="28"/>
        </w:rPr>
        <w:t>ны объеди</w:t>
      </w:r>
      <w:r>
        <w:rPr>
          <w:rFonts w:ascii="Times New Roman" w:hAnsi="Times New Roman" w:cs="Times New Roman"/>
          <w:sz w:val="28"/>
          <w:szCs w:val="28"/>
        </w:rPr>
        <w:t>þ</w:t>
      </w:r>
      <w:r>
        <w:rPr>
          <w:rFonts w:ascii="Times New Roman CYR" w:hAnsi="Times New Roman CYR" w:cs="Times New Roman CYR"/>
          <w:sz w:val="28"/>
          <w:szCs w:val="28"/>
        </w:rPr>
        <w:t>нени</w:t>
      </w:r>
      <w:r>
        <w:rPr>
          <w:rFonts w:ascii="Times New Roman" w:hAnsi="Times New Roman" w:cs="Times New Roman"/>
          <w:sz w:val="28"/>
          <w:szCs w:val="28"/>
        </w:rPr>
        <w:t>þ</w:t>
      </w:r>
      <w:r>
        <w:rPr>
          <w:rFonts w:ascii="Times New Roman CYR" w:hAnsi="Times New Roman CYR" w:cs="Times New Roman CYR"/>
          <w:sz w:val="28"/>
          <w:szCs w:val="28"/>
        </w:rPr>
        <w:t>я разви</w:t>
      </w:r>
      <w:r>
        <w:rPr>
          <w:rFonts w:ascii="Times New Roman" w:hAnsi="Times New Roman" w:cs="Times New Roman"/>
          <w:sz w:val="28"/>
          <w:szCs w:val="28"/>
        </w:rPr>
        <w:t>þ</w:t>
      </w:r>
      <w:r>
        <w:rPr>
          <w:rFonts w:ascii="Times New Roman CYR" w:hAnsi="Times New Roman CYR" w:cs="Times New Roman CYR"/>
          <w:sz w:val="28"/>
          <w:szCs w:val="28"/>
        </w:rPr>
        <w:t>вающи</w:t>
      </w:r>
      <w:r>
        <w:rPr>
          <w:rFonts w:ascii="Times New Roman" w:hAnsi="Times New Roman" w:cs="Times New Roman"/>
          <w:sz w:val="28"/>
          <w:szCs w:val="28"/>
        </w:rPr>
        <w:t>þ</w:t>
      </w:r>
      <w:r>
        <w:rPr>
          <w:rFonts w:ascii="Times New Roman CYR" w:hAnsi="Times New Roman CYR" w:cs="Times New Roman CYR"/>
          <w:sz w:val="28"/>
          <w:szCs w:val="28"/>
        </w:rPr>
        <w:t>хся государств отли</w:t>
      </w:r>
      <w:r>
        <w:rPr>
          <w:rFonts w:ascii="Times New Roman" w:hAnsi="Times New Roman" w:cs="Times New Roman"/>
          <w:sz w:val="28"/>
          <w:szCs w:val="28"/>
        </w:rPr>
        <w:t>þ</w:t>
      </w:r>
      <w:r>
        <w:rPr>
          <w:rFonts w:ascii="Times New Roman CYR" w:hAnsi="Times New Roman CYR" w:cs="Times New Roman CYR"/>
          <w:sz w:val="28"/>
          <w:szCs w:val="28"/>
        </w:rPr>
        <w:t>чаются от при</w:t>
      </w:r>
      <w:r>
        <w:rPr>
          <w:rFonts w:ascii="Times New Roman" w:hAnsi="Times New Roman" w:cs="Times New Roman"/>
          <w:sz w:val="28"/>
          <w:szCs w:val="28"/>
        </w:rPr>
        <w:t>þ</w:t>
      </w:r>
      <w:r>
        <w:rPr>
          <w:rFonts w:ascii="Times New Roman CYR" w:hAnsi="Times New Roman CYR" w:cs="Times New Roman CYR"/>
          <w:sz w:val="28"/>
          <w:szCs w:val="28"/>
        </w:rPr>
        <w:t>чи</w:t>
      </w:r>
      <w:r>
        <w:rPr>
          <w:rFonts w:ascii="Times New Roman" w:hAnsi="Times New Roman" w:cs="Times New Roman"/>
          <w:sz w:val="28"/>
          <w:szCs w:val="28"/>
        </w:rPr>
        <w:t>þ</w:t>
      </w:r>
      <w:r>
        <w:rPr>
          <w:rFonts w:ascii="Times New Roman CYR" w:hAnsi="Times New Roman CYR" w:cs="Times New Roman CYR"/>
          <w:sz w:val="28"/>
          <w:szCs w:val="28"/>
        </w:rPr>
        <w:t>н, по которым в этот процесс включаются разви</w:t>
      </w:r>
      <w:r>
        <w:rPr>
          <w:rFonts w:ascii="Times New Roman" w:hAnsi="Times New Roman" w:cs="Times New Roman"/>
          <w:sz w:val="28"/>
          <w:szCs w:val="28"/>
        </w:rPr>
        <w:t>þ</w:t>
      </w:r>
      <w:r>
        <w:rPr>
          <w:rFonts w:ascii="Times New Roman CYR" w:hAnsi="Times New Roman CYR" w:cs="Times New Roman CYR"/>
          <w:sz w:val="28"/>
          <w:szCs w:val="28"/>
        </w:rPr>
        <w:t>тые страны. И</w:t>
      </w:r>
      <w:r>
        <w:rPr>
          <w:rFonts w:ascii="Times New Roman" w:hAnsi="Times New Roman" w:cs="Times New Roman"/>
          <w:sz w:val="28"/>
          <w:szCs w:val="28"/>
        </w:rPr>
        <w:t>þ</w:t>
      </w:r>
      <w:r>
        <w:rPr>
          <w:rFonts w:ascii="Times New Roman CYR" w:hAnsi="Times New Roman CYR" w:cs="Times New Roman CYR"/>
          <w:sz w:val="28"/>
          <w:szCs w:val="28"/>
        </w:rPr>
        <w:t>нтеграци</w:t>
      </w:r>
      <w:r>
        <w:rPr>
          <w:rFonts w:ascii="Times New Roman" w:hAnsi="Times New Roman" w:cs="Times New Roman"/>
          <w:sz w:val="28"/>
          <w:szCs w:val="28"/>
        </w:rPr>
        <w:t>þ</w:t>
      </w:r>
      <w:r>
        <w:rPr>
          <w:rFonts w:ascii="Times New Roman CYR" w:hAnsi="Times New Roman CYR" w:cs="Times New Roman CYR"/>
          <w:sz w:val="28"/>
          <w:szCs w:val="28"/>
        </w:rPr>
        <w:t>я у разви</w:t>
      </w:r>
      <w:r>
        <w:rPr>
          <w:rFonts w:ascii="Times New Roman" w:hAnsi="Times New Roman" w:cs="Times New Roman"/>
          <w:sz w:val="28"/>
          <w:szCs w:val="28"/>
        </w:rPr>
        <w:t>þ</w:t>
      </w:r>
      <w:r>
        <w:rPr>
          <w:rFonts w:ascii="Times New Roman CYR" w:hAnsi="Times New Roman CYR" w:cs="Times New Roman CYR"/>
          <w:sz w:val="28"/>
          <w:szCs w:val="28"/>
        </w:rPr>
        <w:t>тых стран является потребностью, вытекающей и</w:t>
      </w:r>
      <w:r>
        <w:rPr>
          <w:rFonts w:ascii="Times New Roman" w:hAnsi="Times New Roman" w:cs="Times New Roman"/>
          <w:sz w:val="28"/>
          <w:szCs w:val="28"/>
        </w:rPr>
        <w:t>þ</w:t>
      </w:r>
      <w:r>
        <w:rPr>
          <w:rFonts w:ascii="Times New Roman CYR" w:hAnsi="Times New Roman CYR" w:cs="Times New Roman CYR"/>
          <w:sz w:val="28"/>
          <w:szCs w:val="28"/>
        </w:rPr>
        <w:t xml:space="preserve">з </w:t>
      </w:r>
      <w:r>
        <w:rPr>
          <w:rFonts w:ascii="Times New Roman CYR" w:hAnsi="Times New Roman CYR" w:cs="Times New Roman CYR"/>
          <w:sz w:val="28"/>
          <w:szCs w:val="28"/>
        </w:rPr>
        <w:lastRenderedPageBreak/>
        <w:t>дости</w:t>
      </w:r>
      <w:r>
        <w:rPr>
          <w:rFonts w:ascii="Times New Roman" w:hAnsi="Times New Roman" w:cs="Times New Roman"/>
          <w:sz w:val="28"/>
          <w:szCs w:val="28"/>
        </w:rPr>
        <w:t>þ</w:t>
      </w:r>
      <w:r>
        <w:rPr>
          <w:rFonts w:ascii="Times New Roman CYR" w:hAnsi="Times New Roman CYR" w:cs="Times New Roman CYR"/>
          <w:sz w:val="28"/>
          <w:szCs w:val="28"/>
        </w:rPr>
        <w:t>гнутого уровня прои</w:t>
      </w:r>
      <w:r>
        <w:rPr>
          <w:rFonts w:ascii="Times New Roman" w:hAnsi="Times New Roman" w:cs="Times New Roman"/>
          <w:sz w:val="28"/>
          <w:szCs w:val="28"/>
        </w:rPr>
        <w:t>þ</w:t>
      </w:r>
      <w:r>
        <w:rPr>
          <w:rFonts w:ascii="Times New Roman CYR" w:hAnsi="Times New Roman CYR" w:cs="Times New Roman CYR"/>
          <w:sz w:val="28"/>
          <w:szCs w:val="28"/>
        </w:rPr>
        <w:t>зводи</w:t>
      </w:r>
      <w:r>
        <w:rPr>
          <w:rFonts w:ascii="Times New Roman" w:hAnsi="Times New Roman" w:cs="Times New Roman"/>
          <w:sz w:val="28"/>
          <w:szCs w:val="28"/>
        </w:rPr>
        <w:t>þ</w:t>
      </w:r>
      <w:r>
        <w:rPr>
          <w:rFonts w:ascii="Times New Roman CYR" w:hAnsi="Times New Roman CYR" w:cs="Times New Roman CYR"/>
          <w:sz w:val="28"/>
          <w:szCs w:val="28"/>
        </w:rPr>
        <w:t>тельных си</w:t>
      </w:r>
      <w:r>
        <w:rPr>
          <w:rFonts w:ascii="Times New Roman" w:hAnsi="Times New Roman" w:cs="Times New Roman"/>
          <w:sz w:val="28"/>
          <w:szCs w:val="28"/>
        </w:rPr>
        <w:t>þ</w:t>
      </w:r>
      <w:r>
        <w:rPr>
          <w:rFonts w:ascii="Times New Roman CYR" w:hAnsi="Times New Roman CYR" w:cs="Times New Roman CYR"/>
          <w:sz w:val="28"/>
          <w:szCs w:val="28"/>
        </w:rPr>
        <w:t>л. Разви</w:t>
      </w:r>
      <w:r>
        <w:rPr>
          <w:rFonts w:ascii="Times New Roman" w:hAnsi="Times New Roman" w:cs="Times New Roman"/>
          <w:sz w:val="28"/>
          <w:szCs w:val="28"/>
        </w:rPr>
        <w:t>þ</w:t>
      </w:r>
      <w:r>
        <w:rPr>
          <w:rFonts w:ascii="Times New Roman CYR" w:hAnsi="Times New Roman CYR" w:cs="Times New Roman CYR"/>
          <w:sz w:val="28"/>
          <w:szCs w:val="28"/>
        </w:rPr>
        <w:t>вающи</w:t>
      </w:r>
      <w:r>
        <w:rPr>
          <w:rFonts w:ascii="Times New Roman" w:hAnsi="Times New Roman" w:cs="Times New Roman"/>
          <w:sz w:val="28"/>
          <w:szCs w:val="28"/>
        </w:rPr>
        <w:t>þ</w:t>
      </w:r>
      <w:r>
        <w:rPr>
          <w:rFonts w:ascii="Times New Roman CYR" w:hAnsi="Times New Roman CYR" w:cs="Times New Roman CYR"/>
          <w:sz w:val="28"/>
          <w:szCs w:val="28"/>
        </w:rPr>
        <w:t>еся же страны к объеди</w:t>
      </w:r>
      <w:r>
        <w:rPr>
          <w:rFonts w:ascii="Times New Roman" w:hAnsi="Times New Roman" w:cs="Times New Roman"/>
          <w:sz w:val="28"/>
          <w:szCs w:val="28"/>
        </w:rPr>
        <w:t>þ</w:t>
      </w:r>
      <w:r>
        <w:rPr>
          <w:rFonts w:ascii="Times New Roman CYR" w:hAnsi="Times New Roman CYR" w:cs="Times New Roman CYR"/>
          <w:sz w:val="28"/>
          <w:szCs w:val="28"/>
        </w:rPr>
        <w:t>нени</w:t>
      </w:r>
      <w:r>
        <w:rPr>
          <w:rFonts w:ascii="Times New Roman" w:hAnsi="Times New Roman" w:cs="Times New Roman"/>
          <w:sz w:val="28"/>
          <w:szCs w:val="28"/>
        </w:rPr>
        <w:t>þ</w:t>
      </w:r>
      <w:r>
        <w:rPr>
          <w:rFonts w:ascii="Times New Roman CYR" w:hAnsi="Times New Roman CYR" w:cs="Times New Roman CYR"/>
          <w:sz w:val="28"/>
          <w:szCs w:val="28"/>
        </w:rPr>
        <w:t>ю побуждает готовность к совершенствовани</w:t>
      </w:r>
      <w:r>
        <w:rPr>
          <w:rFonts w:ascii="Times New Roman" w:hAnsi="Times New Roman" w:cs="Times New Roman"/>
          <w:sz w:val="28"/>
          <w:szCs w:val="28"/>
        </w:rPr>
        <w:t>þ</w:t>
      </w:r>
      <w:r>
        <w:rPr>
          <w:rFonts w:ascii="Times New Roman CYR" w:hAnsi="Times New Roman CYR" w:cs="Times New Roman CYR"/>
          <w:sz w:val="28"/>
          <w:szCs w:val="28"/>
        </w:rPr>
        <w:t>ю экономи</w:t>
      </w:r>
      <w:r>
        <w:rPr>
          <w:rFonts w:ascii="Times New Roman" w:hAnsi="Times New Roman" w:cs="Times New Roman"/>
          <w:sz w:val="28"/>
          <w:szCs w:val="28"/>
        </w:rPr>
        <w:t>þ</w:t>
      </w:r>
      <w:r>
        <w:rPr>
          <w:rFonts w:ascii="Times New Roman CYR" w:hAnsi="Times New Roman CYR" w:cs="Times New Roman CYR"/>
          <w:sz w:val="28"/>
          <w:szCs w:val="28"/>
        </w:rPr>
        <w:t>ки</w:t>
      </w:r>
      <w:r>
        <w:rPr>
          <w:rFonts w:ascii="Times New Roman" w:hAnsi="Times New Roman" w:cs="Times New Roman"/>
          <w:sz w:val="28"/>
          <w:szCs w:val="28"/>
        </w:rPr>
        <w:t>þ,</w:t>
      </w:r>
      <w:r>
        <w:rPr>
          <w:rFonts w:ascii="Times New Roman CYR" w:hAnsi="Times New Roman CYR" w:cs="Times New Roman CYR"/>
          <w:sz w:val="28"/>
          <w:szCs w:val="28"/>
        </w:rPr>
        <w:t xml:space="preserve"> получени</w:t>
      </w:r>
      <w:r>
        <w:rPr>
          <w:rFonts w:ascii="Times New Roman" w:hAnsi="Times New Roman" w:cs="Times New Roman"/>
          <w:sz w:val="28"/>
          <w:szCs w:val="28"/>
        </w:rPr>
        <w:t>þ</w:t>
      </w:r>
      <w:r>
        <w:rPr>
          <w:rFonts w:ascii="Times New Roman CYR" w:hAnsi="Times New Roman CYR" w:cs="Times New Roman CYR"/>
          <w:sz w:val="28"/>
          <w:szCs w:val="28"/>
        </w:rPr>
        <w:t>ю макси</w:t>
      </w:r>
      <w:r>
        <w:rPr>
          <w:rFonts w:ascii="Times New Roman" w:hAnsi="Times New Roman" w:cs="Times New Roman"/>
          <w:sz w:val="28"/>
          <w:szCs w:val="28"/>
        </w:rPr>
        <w:t>þ</w:t>
      </w:r>
      <w:r>
        <w:rPr>
          <w:rFonts w:ascii="Times New Roman CYR" w:hAnsi="Times New Roman CYR" w:cs="Times New Roman CYR"/>
          <w:sz w:val="28"/>
          <w:szCs w:val="28"/>
        </w:rPr>
        <w:t>мальной выгоды от международного сотрудни</w:t>
      </w:r>
      <w:r>
        <w:rPr>
          <w:rFonts w:ascii="Times New Roman" w:hAnsi="Times New Roman" w:cs="Times New Roman"/>
          <w:sz w:val="28"/>
          <w:szCs w:val="28"/>
        </w:rPr>
        <w:t>þ</w:t>
      </w:r>
      <w:r>
        <w:rPr>
          <w:rFonts w:ascii="Times New Roman CYR" w:hAnsi="Times New Roman CYR" w:cs="Times New Roman CYR"/>
          <w:sz w:val="28"/>
          <w:szCs w:val="28"/>
        </w:rPr>
        <w:t>чества, уси</w:t>
      </w:r>
      <w:r>
        <w:rPr>
          <w:rFonts w:ascii="Times New Roman" w:hAnsi="Times New Roman" w:cs="Times New Roman"/>
          <w:sz w:val="28"/>
          <w:szCs w:val="28"/>
        </w:rPr>
        <w:t>þ</w:t>
      </w:r>
      <w:r>
        <w:rPr>
          <w:rFonts w:ascii="Times New Roman CYR" w:hAnsi="Times New Roman CYR" w:cs="Times New Roman CYR"/>
          <w:sz w:val="28"/>
          <w:szCs w:val="28"/>
        </w:rPr>
        <w:t>лени</w:t>
      </w:r>
      <w:r>
        <w:rPr>
          <w:rFonts w:ascii="Times New Roman" w:hAnsi="Times New Roman" w:cs="Times New Roman"/>
          <w:sz w:val="28"/>
          <w:szCs w:val="28"/>
        </w:rPr>
        <w:t>þ</w:t>
      </w:r>
      <w:r>
        <w:rPr>
          <w:rFonts w:ascii="Times New Roman CYR" w:hAnsi="Times New Roman CYR" w:cs="Times New Roman CYR"/>
          <w:sz w:val="28"/>
          <w:szCs w:val="28"/>
        </w:rPr>
        <w:t>ю пози</w:t>
      </w:r>
      <w:r>
        <w:rPr>
          <w:rFonts w:ascii="Times New Roman" w:hAnsi="Times New Roman" w:cs="Times New Roman"/>
          <w:sz w:val="28"/>
          <w:szCs w:val="28"/>
        </w:rPr>
        <w:t>þ</w:t>
      </w:r>
      <w:r>
        <w:rPr>
          <w:rFonts w:ascii="Times New Roman CYR" w:hAnsi="Times New Roman CYR" w:cs="Times New Roman CYR"/>
          <w:sz w:val="28"/>
          <w:szCs w:val="28"/>
        </w:rPr>
        <w:t>ци</w:t>
      </w:r>
      <w:r>
        <w:rPr>
          <w:rFonts w:ascii="Times New Roman" w:hAnsi="Times New Roman" w:cs="Times New Roman"/>
          <w:sz w:val="28"/>
          <w:szCs w:val="28"/>
        </w:rPr>
        <w:t>þ</w:t>
      </w:r>
      <w:r>
        <w:rPr>
          <w:rFonts w:ascii="Times New Roman CYR" w:hAnsi="Times New Roman CYR" w:cs="Times New Roman CYR"/>
          <w:sz w:val="28"/>
          <w:szCs w:val="28"/>
        </w:rPr>
        <w:t xml:space="preserve">й на международной арене.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стори</w:t>
      </w:r>
      <w:r>
        <w:rPr>
          <w:rFonts w:ascii="Times New Roman" w:hAnsi="Times New Roman" w:cs="Times New Roman"/>
          <w:sz w:val="28"/>
          <w:szCs w:val="28"/>
        </w:rPr>
        <w:t>þ</w:t>
      </w:r>
      <w:r>
        <w:rPr>
          <w:rFonts w:ascii="Times New Roman CYR" w:hAnsi="Times New Roman CYR" w:cs="Times New Roman CYR"/>
          <w:sz w:val="28"/>
          <w:szCs w:val="28"/>
        </w:rPr>
        <w:t>я ми</w:t>
      </w:r>
      <w:r>
        <w:rPr>
          <w:rFonts w:ascii="Times New Roman" w:hAnsi="Times New Roman" w:cs="Times New Roman"/>
          <w:sz w:val="28"/>
          <w:szCs w:val="28"/>
        </w:rPr>
        <w:t>þ</w:t>
      </w:r>
      <w:r>
        <w:rPr>
          <w:rFonts w:ascii="Times New Roman CYR" w:hAnsi="Times New Roman CYR" w:cs="Times New Roman CYR"/>
          <w:sz w:val="28"/>
          <w:szCs w:val="28"/>
        </w:rPr>
        <w:t>ровой экономи</w:t>
      </w:r>
      <w:r>
        <w:rPr>
          <w:rFonts w:ascii="Times New Roman" w:hAnsi="Times New Roman" w:cs="Times New Roman"/>
          <w:sz w:val="28"/>
          <w:szCs w:val="28"/>
        </w:rPr>
        <w:t>þ</w:t>
      </w:r>
      <w:r>
        <w:rPr>
          <w:rFonts w:ascii="Times New Roman CYR" w:hAnsi="Times New Roman CYR" w:cs="Times New Roman CYR"/>
          <w:sz w:val="28"/>
          <w:szCs w:val="28"/>
        </w:rPr>
        <w:t>ческой и</w:t>
      </w:r>
      <w:r>
        <w:rPr>
          <w:rFonts w:ascii="Times New Roman" w:hAnsi="Times New Roman" w:cs="Times New Roman"/>
          <w:sz w:val="28"/>
          <w:szCs w:val="28"/>
        </w:rPr>
        <w:t>þ</w:t>
      </w:r>
      <w:r>
        <w:rPr>
          <w:rFonts w:ascii="Times New Roman CYR" w:hAnsi="Times New Roman CYR" w:cs="Times New Roman CYR"/>
          <w:sz w:val="28"/>
          <w:szCs w:val="28"/>
        </w:rPr>
        <w:t>нтеграци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убеди</w:t>
      </w:r>
      <w:r>
        <w:rPr>
          <w:rFonts w:ascii="Times New Roman" w:hAnsi="Times New Roman" w:cs="Times New Roman"/>
          <w:sz w:val="28"/>
          <w:szCs w:val="28"/>
        </w:rPr>
        <w:t>þ</w:t>
      </w:r>
      <w:r>
        <w:rPr>
          <w:rFonts w:ascii="Times New Roman CYR" w:hAnsi="Times New Roman CYR" w:cs="Times New Roman CYR"/>
          <w:sz w:val="28"/>
          <w:szCs w:val="28"/>
        </w:rPr>
        <w:t>тельно доказала, что наи</w:t>
      </w:r>
      <w:r>
        <w:rPr>
          <w:rFonts w:ascii="Times New Roman" w:hAnsi="Times New Roman" w:cs="Times New Roman"/>
          <w:sz w:val="28"/>
          <w:szCs w:val="28"/>
        </w:rPr>
        <w:t>þ</w:t>
      </w:r>
      <w:r>
        <w:rPr>
          <w:rFonts w:ascii="Times New Roman CYR" w:hAnsi="Times New Roman CYR" w:cs="Times New Roman CYR"/>
          <w:sz w:val="28"/>
          <w:szCs w:val="28"/>
        </w:rPr>
        <w:t>более перспекти</w:t>
      </w:r>
      <w:r>
        <w:rPr>
          <w:rFonts w:ascii="Times New Roman" w:hAnsi="Times New Roman" w:cs="Times New Roman"/>
          <w:sz w:val="28"/>
          <w:szCs w:val="28"/>
        </w:rPr>
        <w:t>þ</w:t>
      </w:r>
      <w:r>
        <w:rPr>
          <w:rFonts w:ascii="Times New Roman CYR" w:hAnsi="Times New Roman CYR" w:cs="Times New Roman CYR"/>
          <w:sz w:val="28"/>
          <w:szCs w:val="28"/>
        </w:rPr>
        <w:t>вной формой для согласованного объеди</w:t>
      </w:r>
      <w:r>
        <w:rPr>
          <w:rFonts w:ascii="Times New Roman" w:hAnsi="Times New Roman" w:cs="Times New Roman"/>
          <w:sz w:val="28"/>
          <w:szCs w:val="28"/>
        </w:rPr>
        <w:t>þ</w:t>
      </w:r>
      <w:r>
        <w:rPr>
          <w:rFonts w:ascii="Times New Roman CYR" w:hAnsi="Times New Roman CYR" w:cs="Times New Roman CYR"/>
          <w:sz w:val="28"/>
          <w:szCs w:val="28"/>
        </w:rPr>
        <w:t>нени</w:t>
      </w:r>
      <w:r>
        <w:rPr>
          <w:rFonts w:ascii="Times New Roman" w:hAnsi="Times New Roman" w:cs="Times New Roman"/>
          <w:sz w:val="28"/>
          <w:szCs w:val="28"/>
        </w:rPr>
        <w:t>þ</w:t>
      </w:r>
      <w:r>
        <w:rPr>
          <w:rFonts w:ascii="Times New Roman CYR" w:hAnsi="Times New Roman CYR" w:cs="Times New Roman CYR"/>
          <w:sz w:val="28"/>
          <w:szCs w:val="28"/>
        </w:rPr>
        <w:t>я незави</w:t>
      </w:r>
      <w:r>
        <w:rPr>
          <w:rFonts w:ascii="Times New Roman" w:hAnsi="Times New Roman" w:cs="Times New Roman"/>
          <w:sz w:val="28"/>
          <w:szCs w:val="28"/>
        </w:rPr>
        <w:t>þ</w:t>
      </w:r>
      <w:r>
        <w:rPr>
          <w:rFonts w:ascii="Times New Roman CYR" w:hAnsi="Times New Roman CYR" w:cs="Times New Roman CYR"/>
          <w:sz w:val="28"/>
          <w:szCs w:val="28"/>
        </w:rPr>
        <w:t>си</w:t>
      </w:r>
      <w:r>
        <w:rPr>
          <w:rFonts w:ascii="Times New Roman" w:hAnsi="Times New Roman" w:cs="Times New Roman"/>
          <w:sz w:val="28"/>
          <w:szCs w:val="28"/>
        </w:rPr>
        <w:t>þ</w:t>
      </w:r>
      <w:r>
        <w:rPr>
          <w:rFonts w:ascii="Times New Roman CYR" w:hAnsi="Times New Roman CYR" w:cs="Times New Roman CYR"/>
          <w:sz w:val="28"/>
          <w:szCs w:val="28"/>
        </w:rPr>
        <w:t>мых государств является таможенный союз. Таможенный союз представляет собой ли</w:t>
      </w:r>
      <w:r>
        <w:rPr>
          <w:rFonts w:ascii="Times New Roman" w:hAnsi="Times New Roman" w:cs="Times New Roman"/>
          <w:sz w:val="28"/>
          <w:szCs w:val="28"/>
        </w:rPr>
        <w:t>þ</w:t>
      </w:r>
      <w:r>
        <w:rPr>
          <w:rFonts w:ascii="Times New Roman CYR" w:hAnsi="Times New Roman CYR" w:cs="Times New Roman CYR"/>
          <w:sz w:val="28"/>
          <w:szCs w:val="28"/>
        </w:rPr>
        <w:t>шь отдельный этап полной экономи</w:t>
      </w:r>
      <w:r>
        <w:rPr>
          <w:rFonts w:ascii="Times New Roman" w:hAnsi="Times New Roman" w:cs="Times New Roman"/>
          <w:sz w:val="28"/>
          <w:szCs w:val="28"/>
        </w:rPr>
        <w:t>þ</w:t>
      </w:r>
      <w:r>
        <w:rPr>
          <w:rFonts w:ascii="Times New Roman CYR" w:hAnsi="Times New Roman CYR" w:cs="Times New Roman CYR"/>
          <w:sz w:val="28"/>
          <w:szCs w:val="28"/>
        </w:rPr>
        <w:t>ческой и</w:t>
      </w:r>
      <w:r>
        <w:rPr>
          <w:rFonts w:ascii="Times New Roman" w:hAnsi="Times New Roman" w:cs="Times New Roman"/>
          <w:sz w:val="28"/>
          <w:szCs w:val="28"/>
        </w:rPr>
        <w:t>þ</w:t>
      </w:r>
      <w:r>
        <w:rPr>
          <w:rFonts w:ascii="Times New Roman CYR" w:hAnsi="Times New Roman CYR" w:cs="Times New Roman CYR"/>
          <w:sz w:val="28"/>
          <w:szCs w:val="28"/>
        </w:rPr>
        <w:t>нтеграци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тем не менее, он содержи</w:t>
      </w:r>
      <w:r>
        <w:rPr>
          <w:rFonts w:ascii="Times New Roman" w:hAnsi="Times New Roman" w:cs="Times New Roman"/>
          <w:sz w:val="28"/>
          <w:szCs w:val="28"/>
        </w:rPr>
        <w:t>þ</w:t>
      </w:r>
      <w:r>
        <w:rPr>
          <w:rFonts w:ascii="Times New Roman CYR" w:hAnsi="Times New Roman CYR" w:cs="Times New Roman CYR"/>
          <w:sz w:val="28"/>
          <w:szCs w:val="28"/>
        </w:rPr>
        <w:t>т в себе необходи</w:t>
      </w:r>
      <w:r>
        <w:rPr>
          <w:rFonts w:ascii="Times New Roman" w:hAnsi="Times New Roman" w:cs="Times New Roman"/>
          <w:sz w:val="28"/>
          <w:szCs w:val="28"/>
        </w:rPr>
        <w:t>þ</w:t>
      </w:r>
      <w:r>
        <w:rPr>
          <w:rFonts w:ascii="Times New Roman CYR" w:hAnsi="Times New Roman CYR" w:cs="Times New Roman CYR"/>
          <w:sz w:val="28"/>
          <w:szCs w:val="28"/>
        </w:rPr>
        <w:t>мую, основополагающую платформу для дальнейшего дви</w:t>
      </w:r>
      <w:r>
        <w:rPr>
          <w:rFonts w:ascii="Times New Roman" w:hAnsi="Times New Roman" w:cs="Times New Roman"/>
          <w:sz w:val="28"/>
          <w:szCs w:val="28"/>
        </w:rPr>
        <w:t>þ</w:t>
      </w:r>
      <w:r>
        <w:rPr>
          <w:rFonts w:ascii="Times New Roman CYR" w:hAnsi="Times New Roman CYR" w:cs="Times New Roman CYR"/>
          <w:sz w:val="28"/>
          <w:szCs w:val="28"/>
        </w:rPr>
        <w:t>жени</w:t>
      </w:r>
      <w:r>
        <w:rPr>
          <w:rFonts w:ascii="Times New Roman" w:hAnsi="Times New Roman" w:cs="Times New Roman"/>
          <w:sz w:val="28"/>
          <w:szCs w:val="28"/>
        </w:rPr>
        <w:t>þ</w:t>
      </w:r>
      <w:r>
        <w:rPr>
          <w:rFonts w:ascii="Times New Roman CYR" w:hAnsi="Times New Roman CYR" w:cs="Times New Roman CYR"/>
          <w:sz w:val="28"/>
          <w:szCs w:val="28"/>
        </w:rPr>
        <w:t>я в этой области</w:t>
      </w:r>
      <w:r>
        <w:rPr>
          <w:rFonts w:ascii="Times New Roman" w:hAnsi="Times New Roman" w:cs="Times New Roman"/>
          <w:sz w:val="28"/>
          <w:szCs w:val="28"/>
        </w:rPr>
        <w:t>þ.</w:t>
      </w:r>
      <w:r>
        <w:rPr>
          <w:rFonts w:ascii="Times New Roman CYR" w:hAnsi="Times New Roman CYR" w:cs="Times New Roman CYR"/>
          <w:sz w:val="28"/>
          <w:szCs w:val="28"/>
        </w:rPr>
        <w:t xml:space="preserve">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Современный уровень экономи</w:t>
      </w:r>
      <w:r>
        <w:rPr>
          <w:rFonts w:ascii="Times New Roman" w:hAnsi="Times New Roman" w:cs="Times New Roman"/>
          <w:sz w:val="28"/>
          <w:szCs w:val="28"/>
        </w:rPr>
        <w:t>þ</w:t>
      </w:r>
      <w:r>
        <w:rPr>
          <w:rFonts w:ascii="Times New Roman CYR" w:hAnsi="Times New Roman CYR" w:cs="Times New Roman CYR"/>
          <w:sz w:val="28"/>
          <w:szCs w:val="28"/>
        </w:rPr>
        <w:t>ческого разви</w:t>
      </w:r>
      <w:r>
        <w:rPr>
          <w:rFonts w:ascii="Times New Roman" w:hAnsi="Times New Roman" w:cs="Times New Roman"/>
          <w:sz w:val="28"/>
          <w:szCs w:val="28"/>
        </w:rPr>
        <w:t>þ</w:t>
      </w:r>
      <w:r>
        <w:rPr>
          <w:rFonts w:ascii="Times New Roman CYR" w:hAnsi="Times New Roman CYR" w:cs="Times New Roman CYR"/>
          <w:sz w:val="28"/>
          <w:szCs w:val="28"/>
        </w:rPr>
        <w:t>ти</w:t>
      </w:r>
      <w:r>
        <w:rPr>
          <w:rFonts w:ascii="Times New Roman" w:hAnsi="Times New Roman" w:cs="Times New Roman"/>
          <w:sz w:val="28"/>
          <w:szCs w:val="28"/>
        </w:rPr>
        <w:t>þ</w:t>
      </w:r>
      <w:r>
        <w:rPr>
          <w:rFonts w:ascii="Times New Roman CYR" w:hAnsi="Times New Roman CYR" w:cs="Times New Roman CYR"/>
          <w:sz w:val="28"/>
          <w:szCs w:val="28"/>
        </w:rPr>
        <w:t>я и</w:t>
      </w:r>
      <w:r>
        <w:rPr>
          <w:rFonts w:ascii="Times New Roman" w:hAnsi="Times New Roman" w:cs="Times New Roman"/>
          <w:sz w:val="28"/>
          <w:szCs w:val="28"/>
        </w:rPr>
        <w:t>þ</w:t>
      </w:r>
      <w:r>
        <w:rPr>
          <w:rFonts w:ascii="Times New Roman CYR" w:hAnsi="Times New Roman CYR" w:cs="Times New Roman CYR"/>
          <w:sz w:val="28"/>
          <w:szCs w:val="28"/>
        </w:rPr>
        <w:t xml:space="preserve"> поли</w:t>
      </w:r>
      <w:r>
        <w:rPr>
          <w:rFonts w:ascii="Times New Roman" w:hAnsi="Times New Roman" w:cs="Times New Roman"/>
          <w:sz w:val="28"/>
          <w:szCs w:val="28"/>
        </w:rPr>
        <w:t>þ</w:t>
      </w:r>
      <w:r>
        <w:rPr>
          <w:rFonts w:ascii="Times New Roman CYR" w:hAnsi="Times New Roman CYR" w:cs="Times New Roman CYR"/>
          <w:sz w:val="28"/>
          <w:szCs w:val="28"/>
        </w:rPr>
        <w:t>ти</w:t>
      </w:r>
      <w:r>
        <w:rPr>
          <w:rFonts w:ascii="Times New Roman" w:hAnsi="Times New Roman" w:cs="Times New Roman"/>
          <w:sz w:val="28"/>
          <w:szCs w:val="28"/>
        </w:rPr>
        <w:t>þ</w:t>
      </w:r>
      <w:r>
        <w:rPr>
          <w:rFonts w:ascii="Times New Roman CYR" w:hAnsi="Times New Roman CYR" w:cs="Times New Roman CYR"/>
          <w:sz w:val="28"/>
          <w:szCs w:val="28"/>
        </w:rPr>
        <w:t>чески</w:t>
      </w:r>
      <w:r>
        <w:rPr>
          <w:rFonts w:ascii="Times New Roman" w:hAnsi="Times New Roman" w:cs="Times New Roman"/>
          <w:sz w:val="28"/>
          <w:szCs w:val="28"/>
        </w:rPr>
        <w:t>þ</w:t>
      </w:r>
      <w:r>
        <w:rPr>
          <w:rFonts w:ascii="Times New Roman CYR" w:hAnsi="Times New Roman CYR" w:cs="Times New Roman CYR"/>
          <w:sz w:val="28"/>
          <w:szCs w:val="28"/>
        </w:rPr>
        <w:t>х связей между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ей, Республи</w:t>
      </w:r>
      <w:r>
        <w:rPr>
          <w:rFonts w:ascii="Times New Roman" w:hAnsi="Times New Roman" w:cs="Times New Roman"/>
          <w:sz w:val="28"/>
          <w:szCs w:val="28"/>
        </w:rPr>
        <w:t>þ</w:t>
      </w:r>
      <w:r>
        <w:rPr>
          <w:rFonts w:ascii="Times New Roman CYR" w:hAnsi="Times New Roman CYR" w:cs="Times New Roman CYR"/>
          <w:sz w:val="28"/>
          <w:szCs w:val="28"/>
        </w:rPr>
        <w:t>кой Беларусь и</w:t>
      </w:r>
      <w:r>
        <w:rPr>
          <w:rFonts w:ascii="Times New Roman" w:hAnsi="Times New Roman" w:cs="Times New Roman"/>
          <w:sz w:val="28"/>
          <w:szCs w:val="28"/>
        </w:rPr>
        <w:t>þ</w:t>
      </w:r>
      <w:r>
        <w:rPr>
          <w:rFonts w:ascii="Times New Roman CYR" w:hAnsi="Times New Roman CYR" w:cs="Times New Roman CYR"/>
          <w:sz w:val="28"/>
          <w:szCs w:val="28"/>
        </w:rPr>
        <w:t xml:space="preserve"> Республи</w:t>
      </w:r>
      <w:r>
        <w:rPr>
          <w:rFonts w:ascii="Times New Roman" w:hAnsi="Times New Roman" w:cs="Times New Roman"/>
          <w:sz w:val="28"/>
          <w:szCs w:val="28"/>
        </w:rPr>
        <w:t>þ</w:t>
      </w:r>
      <w:r>
        <w:rPr>
          <w:rFonts w:ascii="Times New Roman CYR" w:hAnsi="Times New Roman CYR" w:cs="Times New Roman CYR"/>
          <w:sz w:val="28"/>
          <w:szCs w:val="28"/>
        </w:rPr>
        <w:t>кой Казахстан сви</w:t>
      </w:r>
      <w:r>
        <w:rPr>
          <w:rFonts w:ascii="Times New Roman" w:hAnsi="Times New Roman" w:cs="Times New Roman"/>
          <w:sz w:val="28"/>
          <w:szCs w:val="28"/>
        </w:rPr>
        <w:t>þ</w:t>
      </w:r>
      <w:r>
        <w:rPr>
          <w:rFonts w:ascii="Times New Roman CYR" w:hAnsi="Times New Roman CYR" w:cs="Times New Roman CYR"/>
          <w:sz w:val="28"/>
          <w:szCs w:val="28"/>
        </w:rPr>
        <w:t>детельствует о неуклонном повышени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уровня и</w:t>
      </w:r>
      <w:r>
        <w:rPr>
          <w:rFonts w:ascii="Times New Roman" w:hAnsi="Times New Roman" w:cs="Times New Roman"/>
          <w:sz w:val="28"/>
          <w:szCs w:val="28"/>
        </w:rPr>
        <w:t>þ</w:t>
      </w:r>
      <w:r>
        <w:rPr>
          <w:rFonts w:ascii="Times New Roman CYR" w:hAnsi="Times New Roman CYR" w:cs="Times New Roman CYR"/>
          <w:sz w:val="28"/>
          <w:szCs w:val="28"/>
        </w:rPr>
        <w:t>нтеграци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и</w:t>
      </w:r>
      <w:r>
        <w:rPr>
          <w:rFonts w:ascii="Times New Roman" w:hAnsi="Times New Roman" w:cs="Times New Roman"/>
          <w:sz w:val="28"/>
          <w:szCs w:val="28"/>
        </w:rPr>
        <w:t>þ</w:t>
      </w:r>
      <w:r>
        <w:rPr>
          <w:rFonts w:ascii="Times New Roman CYR" w:hAnsi="Times New Roman CYR" w:cs="Times New Roman CYR"/>
          <w:sz w:val="28"/>
          <w:szCs w:val="28"/>
        </w:rPr>
        <w:t xml:space="preserve"> согласованности</w:t>
      </w:r>
      <w:r>
        <w:rPr>
          <w:rFonts w:ascii="Times New Roman" w:hAnsi="Times New Roman" w:cs="Times New Roman"/>
          <w:sz w:val="28"/>
          <w:szCs w:val="28"/>
        </w:rPr>
        <w:t>þ</w:t>
      </w:r>
      <w:r>
        <w:rPr>
          <w:rFonts w:ascii="Times New Roman CYR" w:hAnsi="Times New Roman CYR" w:cs="Times New Roman CYR"/>
          <w:sz w:val="28"/>
          <w:szCs w:val="28"/>
        </w:rPr>
        <w:t xml:space="preserve"> действи</w:t>
      </w:r>
      <w:r>
        <w:rPr>
          <w:rFonts w:ascii="Times New Roman" w:hAnsi="Times New Roman" w:cs="Times New Roman"/>
          <w:sz w:val="28"/>
          <w:szCs w:val="28"/>
        </w:rPr>
        <w:t>þ</w:t>
      </w:r>
      <w:r>
        <w:rPr>
          <w:rFonts w:ascii="Times New Roman CYR" w:hAnsi="Times New Roman CYR" w:cs="Times New Roman CYR"/>
          <w:sz w:val="28"/>
          <w:szCs w:val="28"/>
        </w:rPr>
        <w:t>й в экономи</w:t>
      </w:r>
      <w:r>
        <w:rPr>
          <w:rFonts w:ascii="Times New Roman" w:hAnsi="Times New Roman" w:cs="Times New Roman"/>
          <w:sz w:val="28"/>
          <w:szCs w:val="28"/>
        </w:rPr>
        <w:t>þ</w:t>
      </w:r>
      <w:r>
        <w:rPr>
          <w:rFonts w:ascii="Times New Roman CYR" w:hAnsi="Times New Roman CYR" w:cs="Times New Roman CYR"/>
          <w:sz w:val="28"/>
          <w:szCs w:val="28"/>
        </w:rPr>
        <w:t>ческой и</w:t>
      </w:r>
      <w:r>
        <w:rPr>
          <w:rFonts w:ascii="Times New Roman" w:hAnsi="Times New Roman" w:cs="Times New Roman"/>
          <w:sz w:val="28"/>
          <w:szCs w:val="28"/>
        </w:rPr>
        <w:t>þ</w:t>
      </w:r>
      <w:r>
        <w:rPr>
          <w:rFonts w:ascii="Times New Roman CYR" w:hAnsi="Times New Roman CYR" w:cs="Times New Roman CYR"/>
          <w:sz w:val="28"/>
          <w:szCs w:val="28"/>
        </w:rPr>
        <w:t xml:space="preserve"> поли</w:t>
      </w:r>
      <w:r>
        <w:rPr>
          <w:rFonts w:ascii="Times New Roman" w:hAnsi="Times New Roman" w:cs="Times New Roman"/>
          <w:sz w:val="28"/>
          <w:szCs w:val="28"/>
        </w:rPr>
        <w:t>þ</w:t>
      </w:r>
      <w:r>
        <w:rPr>
          <w:rFonts w:ascii="Times New Roman CYR" w:hAnsi="Times New Roman CYR" w:cs="Times New Roman CYR"/>
          <w:sz w:val="28"/>
          <w:szCs w:val="28"/>
        </w:rPr>
        <w:t>ти</w:t>
      </w:r>
      <w:r>
        <w:rPr>
          <w:rFonts w:ascii="Times New Roman" w:hAnsi="Times New Roman" w:cs="Times New Roman"/>
          <w:sz w:val="28"/>
          <w:szCs w:val="28"/>
        </w:rPr>
        <w:t>þ</w:t>
      </w:r>
      <w:r>
        <w:rPr>
          <w:rFonts w:ascii="Times New Roman CYR" w:hAnsi="Times New Roman CYR" w:cs="Times New Roman CYR"/>
          <w:sz w:val="28"/>
          <w:szCs w:val="28"/>
        </w:rPr>
        <w:t xml:space="preserve">ческой сферах трех государств.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Значи</w:t>
      </w:r>
      <w:r>
        <w:rPr>
          <w:rFonts w:ascii="Times New Roman" w:hAnsi="Times New Roman" w:cs="Times New Roman"/>
          <w:sz w:val="28"/>
          <w:szCs w:val="28"/>
        </w:rPr>
        <w:t>þ</w:t>
      </w:r>
      <w:r>
        <w:rPr>
          <w:rFonts w:ascii="Times New Roman CYR" w:hAnsi="Times New Roman CYR" w:cs="Times New Roman CYR"/>
          <w:sz w:val="28"/>
          <w:szCs w:val="28"/>
        </w:rPr>
        <w:t>тельным шагом в процессе объеди</w:t>
      </w:r>
      <w:r>
        <w:rPr>
          <w:rFonts w:ascii="Times New Roman" w:hAnsi="Times New Roman" w:cs="Times New Roman"/>
          <w:sz w:val="28"/>
          <w:szCs w:val="28"/>
        </w:rPr>
        <w:t>þ</w:t>
      </w:r>
      <w:r>
        <w:rPr>
          <w:rFonts w:ascii="Times New Roman CYR" w:hAnsi="Times New Roman CYR" w:cs="Times New Roman CYR"/>
          <w:sz w:val="28"/>
          <w:szCs w:val="28"/>
        </w:rPr>
        <w:t>нени</w:t>
      </w:r>
      <w:r>
        <w:rPr>
          <w:rFonts w:ascii="Times New Roman" w:hAnsi="Times New Roman" w:cs="Times New Roman"/>
          <w:sz w:val="28"/>
          <w:szCs w:val="28"/>
        </w:rPr>
        <w:t>þ</w:t>
      </w:r>
      <w:r>
        <w:rPr>
          <w:rFonts w:ascii="Times New Roman CYR" w:hAnsi="Times New Roman CYR" w:cs="Times New Roman CYR"/>
          <w:sz w:val="28"/>
          <w:szCs w:val="28"/>
        </w:rPr>
        <w:t>я трех государств стало создани</w:t>
      </w:r>
      <w:r>
        <w:rPr>
          <w:rFonts w:ascii="Times New Roman" w:hAnsi="Times New Roman" w:cs="Times New Roman"/>
          <w:sz w:val="28"/>
          <w:szCs w:val="28"/>
        </w:rPr>
        <w:t>þ</w:t>
      </w:r>
      <w:r>
        <w:rPr>
          <w:rFonts w:ascii="Times New Roman CYR" w:hAnsi="Times New Roman CYR" w:cs="Times New Roman CYR"/>
          <w:sz w:val="28"/>
          <w:szCs w:val="28"/>
        </w:rPr>
        <w:t>е в рамках ЕврАзЭС Таможенного союза Росси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Беларуси</w:t>
      </w:r>
      <w:r>
        <w:rPr>
          <w:rFonts w:ascii="Times New Roman" w:hAnsi="Times New Roman" w:cs="Times New Roman"/>
          <w:sz w:val="28"/>
          <w:szCs w:val="28"/>
        </w:rPr>
        <w:t>þ</w:t>
      </w:r>
      <w:r>
        <w:rPr>
          <w:rFonts w:ascii="Times New Roman CYR" w:hAnsi="Times New Roman CYR" w:cs="Times New Roman CYR"/>
          <w:sz w:val="28"/>
          <w:szCs w:val="28"/>
        </w:rPr>
        <w:t xml:space="preserve"> и</w:t>
      </w:r>
      <w:r>
        <w:rPr>
          <w:rFonts w:ascii="Times New Roman" w:hAnsi="Times New Roman" w:cs="Times New Roman"/>
          <w:sz w:val="28"/>
          <w:szCs w:val="28"/>
        </w:rPr>
        <w:t>þ</w:t>
      </w:r>
      <w:r>
        <w:rPr>
          <w:rFonts w:ascii="Times New Roman CYR" w:hAnsi="Times New Roman CYR" w:cs="Times New Roman CYR"/>
          <w:sz w:val="28"/>
          <w:szCs w:val="28"/>
        </w:rPr>
        <w:t xml:space="preserve"> Казахстана. Целью создани</w:t>
      </w:r>
      <w:r>
        <w:rPr>
          <w:rFonts w:ascii="Times New Roman" w:hAnsi="Times New Roman" w:cs="Times New Roman"/>
          <w:sz w:val="28"/>
          <w:szCs w:val="28"/>
        </w:rPr>
        <w:t>þ</w:t>
      </w:r>
      <w:r>
        <w:rPr>
          <w:rFonts w:ascii="Times New Roman CYR" w:hAnsi="Times New Roman CYR" w:cs="Times New Roman CYR"/>
          <w:sz w:val="28"/>
          <w:szCs w:val="28"/>
        </w:rPr>
        <w:t>я Таможенного союза трех стран можно назвать обеспечени</w:t>
      </w:r>
      <w:r>
        <w:rPr>
          <w:rFonts w:ascii="Times New Roman" w:hAnsi="Times New Roman" w:cs="Times New Roman"/>
          <w:sz w:val="28"/>
          <w:szCs w:val="28"/>
        </w:rPr>
        <w:t>þ</w:t>
      </w:r>
      <w:r>
        <w:rPr>
          <w:rFonts w:ascii="Times New Roman CYR" w:hAnsi="Times New Roman CYR" w:cs="Times New Roman CYR"/>
          <w:sz w:val="28"/>
          <w:szCs w:val="28"/>
        </w:rPr>
        <w:t>е совместными</w:t>
      </w:r>
      <w:r>
        <w:rPr>
          <w:rFonts w:ascii="Times New Roman" w:hAnsi="Times New Roman" w:cs="Times New Roman"/>
          <w:sz w:val="28"/>
          <w:szCs w:val="28"/>
        </w:rPr>
        <w:t>þ</w:t>
      </w:r>
      <w:r>
        <w:rPr>
          <w:rFonts w:ascii="Times New Roman CYR" w:hAnsi="Times New Roman CYR" w:cs="Times New Roman CYR"/>
          <w:sz w:val="28"/>
          <w:szCs w:val="28"/>
        </w:rPr>
        <w:t xml:space="preserve"> действи</w:t>
      </w:r>
      <w:r>
        <w:rPr>
          <w:rFonts w:ascii="Times New Roman" w:hAnsi="Times New Roman" w:cs="Times New Roman"/>
          <w:sz w:val="28"/>
          <w:szCs w:val="28"/>
        </w:rPr>
        <w:t>þ</w:t>
      </w:r>
      <w:r>
        <w:rPr>
          <w:rFonts w:ascii="Times New Roman CYR" w:hAnsi="Times New Roman CYR" w:cs="Times New Roman CYR"/>
          <w:sz w:val="28"/>
          <w:szCs w:val="28"/>
        </w:rPr>
        <w:t>ями</w:t>
      </w:r>
      <w:r>
        <w:rPr>
          <w:rFonts w:ascii="Times New Roman" w:hAnsi="Times New Roman" w:cs="Times New Roman"/>
          <w:sz w:val="28"/>
          <w:szCs w:val="28"/>
        </w:rPr>
        <w:t>þ</w:t>
      </w:r>
      <w:r>
        <w:rPr>
          <w:rFonts w:ascii="Times New Roman CYR" w:hAnsi="Times New Roman CYR" w:cs="Times New Roman CYR"/>
          <w:sz w:val="28"/>
          <w:szCs w:val="28"/>
        </w:rPr>
        <w:t xml:space="preserve"> соци</w:t>
      </w:r>
      <w:r>
        <w:rPr>
          <w:rFonts w:ascii="Times New Roman" w:hAnsi="Times New Roman" w:cs="Times New Roman"/>
          <w:sz w:val="28"/>
          <w:szCs w:val="28"/>
        </w:rPr>
        <w:t>þ</w:t>
      </w:r>
      <w:r>
        <w:rPr>
          <w:rFonts w:ascii="Times New Roman CYR" w:hAnsi="Times New Roman CYR" w:cs="Times New Roman CYR"/>
          <w:sz w:val="28"/>
          <w:szCs w:val="28"/>
        </w:rPr>
        <w:t>ально-экономи</w:t>
      </w:r>
      <w:r>
        <w:rPr>
          <w:rFonts w:ascii="Times New Roman" w:hAnsi="Times New Roman" w:cs="Times New Roman"/>
          <w:sz w:val="28"/>
          <w:szCs w:val="28"/>
        </w:rPr>
        <w:t>þ</w:t>
      </w:r>
      <w:r>
        <w:rPr>
          <w:rFonts w:ascii="Times New Roman CYR" w:hAnsi="Times New Roman CYR" w:cs="Times New Roman CYR"/>
          <w:sz w:val="28"/>
          <w:szCs w:val="28"/>
        </w:rPr>
        <w:t>ческого прогресса входящи</w:t>
      </w:r>
      <w:r>
        <w:rPr>
          <w:rFonts w:ascii="Times New Roman" w:hAnsi="Times New Roman" w:cs="Times New Roman"/>
          <w:sz w:val="28"/>
          <w:szCs w:val="28"/>
        </w:rPr>
        <w:t>þ</w:t>
      </w:r>
      <w:r>
        <w:rPr>
          <w:rFonts w:ascii="Times New Roman CYR" w:hAnsi="Times New Roman CYR" w:cs="Times New Roman CYR"/>
          <w:sz w:val="28"/>
          <w:szCs w:val="28"/>
        </w:rPr>
        <w:t>х в него стран путем устранени</w:t>
      </w:r>
      <w:r>
        <w:rPr>
          <w:rFonts w:ascii="Times New Roman" w:hAnsi="Times New Roman" w:cs="Times New Roman"/>
          <w:sz w:val="28"/>
          <w:szCs w:val="28"/>
        </w:rPr>
        <w:t>þ</w:t>
      </w:r>
      <w:r>
        <w:rPr>
          <w:rFonts w:ascii="Times New Roman CYR" w:hAnsi="Times New Roman CYR" w:cs="Times New Roman CYR"/>
          <w:sz w:val="28"/>
          <w:szCs w:val="28"/>
        </w:rPr>
        <w:t>я между ни</w:t>
      </w:r>
      <w:r>
        <w:rPr>
          <w:rFonts w:ascii="Times New Roman" w:hAnsi="Times New Roman" w:cs="Times New Roman"/>
          <w:sz w:val="28"/>
          <w:szCs w:val="28"/>
        </w:rPr>
        <w:t>þ</w:t>
      </w:r>
      <w:r>
        <w:rPr>
          <w:rFonts w:ascii="Times New Roman CYR" w:hAnsi="Times New Roman CYR" w:cs="Times New Roman CYR"/>
          <w:sz w:val="28"/>
          <w:szCs w:val="28"/>
        </w:rPr>
        <w:t>ми</w:t>
      </w:r>
      <w:r>
        <w:rPr>
          <w:rFonts w:ascii="Times New Roman" w:hAnsi="Times New Roman" w:cs="Times New Roman"/>
          <w:sz w:val="28"/>
          <w:szCs w:val="28"/>
        </w:rPr>
        <w:t>þ</w:t>
      </w:r>
      <w:r>
        <w:rPr>
          <w:rFonts w:ascii="Times New Roman CYR" w:hAnsi="Times New Roman CYR" w:cs="Times New Roman CYR"/>
          <w:sz w:val="28"/>
          <w:szCs w:val="28"/>
        </w:rPr>
        <w:t xml:space="preserve"> разделяющи</w:t>
      </w:r>
      <w:r>
        <w:rPr>
          <w:rFonts w:ascii="Times New Roman" w:hAnsi="Times New Roman" w:cs="Times New Roman"/>
          <w:sz w:val="28"/>
          <w:szCs w:val="28"/>
        </w:rPr>
        <w:t>þ</w:t>
      </w:r>
      <w:r>
        <w:rPr>
          <w:rFonts w:ascii="Times New Roman CYR" w:hAnsi="Times New Roman CYR" w:cs="Times New Roman CYR"/>
          <w:sz w:val="28"/>
          <w:szCs w:val="28"/>
        </w:rPr>
        <w:t>х препятстви</w:t>
      </w:r>
      <w:r>
        <w:rPr>
          <w:rFonts w:ascii="Times New Roman" w:hAnsi="Times New Roman" w:cs="Times New Roman"/>
          <w:sz w:val="28"/>
          <w:szCs w:val="28"/>
        </w:rPr>
        <w:t>þ</w:t>
      </w:r>
      <w:r>
        <w:rPr>
          <w:rFonts w:ascii="Times New Roman CYR" w:hAnsi="Times New Roman CYR" w:cs="Times New Roman CYR"/>
          <w:sz w:val="28"/>
          <w:szCs w:val="28"/>
        </w:rPr>
        <w:t>й для свободного экономи</w:t>
      </w:r>
      <w:r>
        <w:rPr>
          <w:rFonts w:ascii="Times New Roman" w:hAnsi="Times New Roman" w:cs="Times New Roman"/>
          <w:sz w:val="28"/>
          <w:szCs w:val="28"/>
        </w:rPr>
        <w:t>þ</w:t>
      </w:r>
      <w:r>
        <w:rPr>
          <w:rFonts w:ascii="Times New Roman CYR" w:hAnsi="Times New Roman CYR" w:cs="Times New Roman CYR"/>
          <w:sz w:val="28"/>
          <w:szCs w:val="28"/>
        </w:rPr>
        <w:t>ческого взаи</w:t>
      </w:r>
      <w:r>
        <w:rPr>
          <w:rFonts w:ascii="Times New Roman" w:hAnsi="Times New Roman" w:cs="Times New Roman"/>
          <w:sz w:val="28"/>
          <w:szCs w:val="28"/>
        </w:rPr>
        <w:t>þ</w:t>
      </w:r>
      <w:r>
        <w:rPr>
          <w:rFonts w:ascii="Times New Roman CYR" w:hAnsi="Times New Roman CYR" w:cs="Times New Roman CYR"/>
          <w:sz w:val="28"/>
          <w:szCs w:val="28"/>
        </w:rPr>
        <w:t>модействи</w:t>
      </w:r>
      <w:r>
        <w:rPr>
          <w:rFonts w:ascii="Times New Roman" w:hAnsi="Times New Roman" w:cs="Times New Roman"/>
          <w:sz w:val="28"/>
          <w:szCs w:val="28"/>
        </w:rPr>
        <w:t>þ</w:t>
      </w:r>
      <w:r>
        <w:rPr>
          <w:rFonts w:ascii="Times New Roman CYR" w:hAnsi="Times New Roman CYR" w:cs="Times New Roman CYR"/>
          <w:sz w:val="28"/>
          <w:szCs w:val="28"/>
        </w:rPr>
        <w:t>я между хозяйствующи</w:t>
      </w:r>
      <w:r>
        <w:rPr>
          <w:rFonts w:ascii="Times New Roman" w:hAnsi="Times New Roman" w:cs="Times New Roman"/>
          <w:sz w:val="28"/>
          <w:szCs w:val="28"/>
        </w:rPr>
        <w:t>þ</w:t>
      </w:r>
      <w:r>
        <w:rPr>
          <w:rFonts w:ascii="Times New Roman CYR" w:hAnsi="Times New Roman CYR" w:cs="Times New Roman CYR"/>
          <w:sz w:val="28"/>
          <w:szCs w:val="28"/>
        </w:rPr>
        <w:t>ми</w:t>
      </w:r>
      <w:r>
        <w:rPr>
          <w:rFonts w:ascii="Times New Roman" w:hAnsi="Times New Roman" w:cs="Times New Roman"/>
          <w:sz w:val="28"/>
          <w:szCs w:val="28"/>
        </w:rPr>
        <w:t>þ</w:t>
      </w:r>
      <w:r>
        <w:rPr>
          <w:rFonts w:ascii="Times New Roman CYR" w:hAnsi="Times New Roman CYR" w:cs="Times New Roman CYR"/>
          <w:sz w:val="28"/>
          <w:szCs w:val="28"/>
        </w:rPr>
        <w:t xml:space="preserve"> субъектами</w:t>
      </w:r>
      <w:r>
        <w:rPr>
          <w:rFonts w:ascii="Times New Roman" w:hAnsi="Times New Roman" w:cs="Times New Roman"/>
          <w:sz w:val="28"/>
          <w:szCs w:val="28"/>
        </w:rPr>
        <w:t>þ.</w:t>
      </w:r>
      <w:r>
        <w:rPr>
          <w:rFonts w:ascii="Times New Roman CYR" w:hAnsi="Times New Roman CYR" w:cs="Times New Roman CYR"/>
          <w:sz w:val="28"/>
          <w:szCs w:val="28"/>
        </w:rPr>
        <w:t xml:space="preserve">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Таможенный союз как форма и</w:t>
      </w:r>
      <w:r>
        <w:rPr>
          <w:rFonts w:ascii="Times New Roman" w:hAnsi="Times New Roman" w:cs="Times New Roman"/>
          <w:sz w:val="28"/>
          <w:szCs w:val="28"/>
        </w:rPr>
        <w:t>þ</w:t>
      </w:r>
      <w:r>
        <w:rPr>
          <w:rFonts w:ascii="Times New Roman CYR" w:hAnsi="Times New Roman CYR" w:cs="Times New Roman CYR"/>
          <w:sz w:val="28"/>
          <w:szCs w:val="28"/>
        </w:rPr>
        <w:t>нтеграци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предполагает осуществи</w:t>
      </w:r>
      <w:r>
        <w:rPr>
          <w:rFonts w:ascii="Times New Roman" w:hAnsi="Times New Roman" w:cs="Times New Roman"/>
          <w:sz w:val="28"/>
          <w:szCs w:val="28"/>
        </w:rPr>
        <w:t>þ</w:t>
      </w:r>
      <w:r>
        <w:rPr>
          <w:rFonts w:ascii="Times New Roman CYR" w:hAnsi="Times New Roman CYR" w:cs="Times New Roman CYR"/>
          <w:sz w:val="28"/>
          <w:szCs w:val="28"/>
        </w:rPr>
        <w:t>ть не только отмену таможенных пошли</w:t>
      </w:r>
      <w:r>
        <w:rPr>
          <w:rFonts w:ascii="Times New Roman" w:hAnsi="Times New Roman" w:cs="Times New Roman"/>
          <w:sz w:val="28"/>
          <w:szCs w:val="28"/>
        </w:rPr>
        <w:t>þ</w:t>
      </w:r>
      <w:r>
        <w:rPr>
          <w:rFonts w:ascii="Times New Roman CYR" w:hAnsi="Times New Roman CYR" w:cs="Times New Roman CYR"/>
          <w:sz w:val="28"/>
          <w:szCs w:val="28"/>
        </w:rPr>
        <w:t>н в торговле между ее государствами</w:t>
      </w:r>
      <w:r>
        <w:rPr>
          <w:rFonts w:ascii="Times New Roman" w:hAnsi="Times New Roman" w:cs="Times New Roman"/>
          <w:sz w:val="28"/>
          <w:szCs w:val="28"/>
        </w:rPr>
        <w:t>þ-</w:t>
      </w:r>
      <w:r>
        <w:rPr>
          <w:rFonts w:ascii="Times New Roman CYR" w:hAnsi="Times New Roman CYR" w:cs="Times New Roman CYR"/>
          <w:sz w:val="28"/>
          <w:szCs w:val="28"/>
        </w:rPr>
        <w:t>членами</w:t>
      </w:r>
      <w:r>
        <w:rPr>
          <w:rFonts w:ascii="Times New Roman" w:hAnsi="Times New Roman" w:cs="Times New Roman"/>
          <w:sz w:val="28"/>
          <w:szCs w:val="28"/>
        </w:rPr>
        <w:t>þ,</w:t>
      </w:r>
      <w:r>
        <w:rPr>
          <w:rFonts w:ascii="Times New Roman CYR" w:hAnsi="Times New Roman CYR" w:cs="Times New Roman CYR"/>
          <w:sz w:val="28"/>
          <w:szCs w:val="28"/>
        </w:rPr>
        <w:t xml:space="preserve"> но и</w:t>
      </w:r>
      <w:r>
        <w:rPr>
          <w:rFonts w:ascii="Times New Roman" w:hAnsi="Times New Roman" w:cs="Times New Roman"/>
          <w:sz w:val="28"/>
          <w:szCs w:val="28"/>
        </w:rPr>
        <w:t>þ</w:t>
      </w:r>
      <w:r>
        <w:rPr>
          <w:rFonts w:ascii="Times New Roman CYR" w:hAnsi="Times New Roman CYR" w:cs="Times New Roman CYR"/>
          <w:sz w:val="28"/>
          <w:szCs w:val="28"/>
        </w:rPr>
        <w:t xml:space="preserve"> учреждени</w:t>
      </w:r>
      <w:r>
        <w:rPr>
          <w:rFonts w:ascii="Times New Roman" w:hAnsi="Times New Roman" w:cs="Times New Roman"/>
          <w:sz w:val="28"/>
          <w:szCs w:val="28"/>
        </w:rPr>
        <w:t>þ</w:t>
      </w:r>
      <w:r>
        <w:rPr>
          <w:rFonts w:ascii="Times New Roman CYR" w:hAnsi="Times New Roman CYR" w:cs="Times New Roman CYR"/>
          <w:sz w:val="28"/>
          <w:szCs w:val="28"/>
        </w:rPr>
        <w:t>е еди</w:t>
      </w:r>
      <w:r>
        <w:rPr>
          <w:rFonts w:ascii="Times New Roman" w:hAnsi="Times New Roman" w:cs="Times New Roman"/>
          <w:sz w:val="28"/>
          <w:szCs w:val="28"/>
        </w:rPr>
        <w:t>þ</w:t>
      </w:r>
      <w:r>
        <w:rPr>
          <w:rFonts w:ascii="Times New Roman CYR" w:hAnsi="Times New Roman CYR" w:cs="Times New Roman CYR"/>
          <w:sz w:val="28"/>
          <w:szCs w:val="28"/>
        </w:rPr>
        <w:t>ной си</w:t>
      </w:r>
      <w:r>
        <w:rPr>
          <w:rFonts w:ascii="Times New Roman" w:hAnsi="Times New Roman" w:cs="Times New Roman"/>
          <w:sz w:val="28"/>
          <w:szCs w:val="28"/>
        </w:rPr>
        <w:t>þ</w:t>
      </w:r>
      <w:r>
        <w:rPr>
          <w:rFonts w:ascii="Times New Roman CYR" w:hAnsi="Times New Roman CYR" w:cs="Times New Roman CYR"/>
          <w:sz w:val="28"/>
          <w:szCs w:val="28"/>
        </w:rPr>
        <w:t>стемы внешни</w:t>
      </w:r>
      <w:r>
        <w:rPr>
          <w:rFonts w:ascii="Times New Roman" w:hAnsi="Times New Roman" w:cs="Times New Roman"/>
          <w:sz w:val="28"/>
          <w:szCs w:val="28"/>
        </w:rPr>
        <w:t>þ</w:t>
      </w:r>
      <w:r>
        <w:rPr>
          <w:rFonts w:ascii="Times New Roman CYR" w:hAnsi="Times New Roman CYR" w:cs="Times New Roman CYR"/>
          <w:sz w:val="28"/>
          <w:szCs w:val="28"/>
        </w:rPr>
        <w:t>х торговых барьеров и</w:t>
      </w:r>
      <w:r>
        <w:rPr>
          <w:rFonts w:ascii="Times New Roman" w:hAnsi="Times New Roman" w:cs="Times New Roman"/>
          <w:sz w:val="28"/>
          <w:szCs w:val="28"/>
        </w:rPr>
        <w:t>þ</w:t>
      </w:r>
      <w:r>
        <w:rPr>
          <w:rFonts w:ascii="Times New Roman CYR" w:hAnsi="Times New Roman CYR" w:cs="Times New Roman CYR"/>
          <w:sz w:val="28"/>
          <w:szCs w:val="28"/>
        </w:rPr>
        <w:t xml:space="preserve"> общи</w:t>
      </w:r>
      <w:r>
        <w:rPr>
          <w:rFonts w:ascii="Times New Roman" w:hAnsi="Times New Roman" w:cs="Times New Roman"/>
          <w:sz w:val="28"/>
          <w:szCs w:val="28"/>
        </w:rPr>
        <w:t>þ</w:t>
      </w:r>
      <w:r>
        <w:rPr>
          <w:rFonts w:ascii="Times New Roman CYR" w:hAnsi="Times New Roman CYR" w:cs="Times New Roman CYR"/>
          <w:sz w:val="28"/>
          <w:szCs w:val="28"/>
        </w:rPr>
        <w:t>х таможенных пошли</w:t>
      </w:r>
      <w:r>
        <w:rPr>
          <w:rFonts w:ascii="Times New Roman" w:hAnsi="Times New Roman" w:cs="Times New Roman"/>
          <w:sz w:val="28"/>
          <w:szCs w:val="28"/>
        </w:rPr>
        <w:t>þ</w:t>
      </w:r>
      <w:r>
        <w:rPr>
          <w:rFonts w:ascii="Times New Roman CYR" w:hAnsi="Times New Roman CYR" w:cs="Times New Roman CYR"/>
          <w:sz w:val="28"/>
          <w:szCs w:val="28"/>
        </w:rPr>
        <w:t>н по отношени</w:t>
      </w:r>
      <w:r>
        <w:rPr>
          <w:rFonts w:ascii="Times New Roman" w:hAnsi="Times New Roman" w:cs="Times New Roman"/>
          <w:sz w:val="28"/>
          <w:szCs w:val="28"/>
        </w:rPr>
        <w:t>þ</w:t>
      </w:r>
      <w:r>
        <w:rPr>
          <w:rFonts w:ascii="Times New Roman CYR" w:hAnsi="Times New Roman CYR" w:cs="Times New Roman CYR"/>
          <w:sz w:val="28"/>
          <w:szCs w:val="28"/>
        </w:rPr>
        <w:t>ю к третьи</w:t>
      </w:r>
      <w:r>
        <w:rPr>
          <w:rFonts w:ascii="Times New Roman" w:hAnsi="Times New Roman" w:cs="Times New Roman"/>
          <w:sz w:val="28"/>
          <w:szCs w:val="28"/>
        </w:rPr>
        <w:t>þ</w:t>
      </w:r>
      <w:r>
        <w:rPr>
          <w:rFonts w:ascii="Times New Roman CYR" w:hAnsi="Times New Roman CYR" w:cs="Times New Roman CYR"/>
          <w:sz w:val="28"/>
          <w:szCs w:val="28"/>
        </w:rPr>
        <w:t xml:space="preserve">м странам. </w:t>
      </w:r>
    </w:p>
    <w:p w:rsidR="00F66867" w:rsidRPr="005E54B0"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2.3 Влияние нетарифных мер на экспорт нефтепродуктов</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Нетарифные методы регулирования внешнеэкономической деятельности-совокупность методов государственного регулирования внешнеэкономической деятельности, имеющих целью воздействие на процессы в сфере внешнеэкономической деятельности, но не относящихся к таможенно-тарифным методам государственного регулирования.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международными соглашениями нетарифные методы применяются в виде исключения из общего правила свободной торговли в </w:t>
      </w:r>
      <w:r>
        <w:rPr>
          <w:rFonts w:ascii="Times New Roman CYR" w:hAnsi="Times New Roman CYR" w:cs="Times New Roman CYR"/>
          <w:sz w:val="28"/>
          <w:szCs w:val="28"/>
        </w:rPr>
        <w:lastRenderedPageBreak/>
        <w:t>следующих случаях:</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Введение временных количественных ограничений экспорта или импорта отдельных товаров, вызванных необходимостью защиты национального рынка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Реализация разрешительного порядка экспорта или импорта отдельных товаров, которые могут оказать неблагоприятное воздействие на безопасность государства, жизнь или здоровье граждан, имущество физических или юридических лиц, государственное или муниципальное имущество, окружающую среду, жизнь или здоровье животных и растений.</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.Выполнение международных обязательств</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Введение исключительного права на экспорт или импорт отдельных товаров</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.Введение специальных защитных, антидемпинговых и компенсационных мер</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Защита общественной морали и правопорядка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Защита культурных ценностей</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Обеспечение национальной безопасности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Нетарифные меры государственного регулирования внешнеэкономической деятельности отличаются большим разнообразием. По данным П. Х. Линде насчитывается более 50 различных способов нетарифного регулирования. В соответствии с классификацией ЕЭК ООН всё многообразие нетарифных методов государственного регулирования внешнеэкономической деятельности можно разделить на три группы:</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Меры прямого ограничения</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Специальные защитные меры</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Прочие нетарифные меры</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мерам прямого ограничения относятся лицензирование и квотирование.</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Лицензирование как мера государственного регулирования внешнеторговой деятельности применяется в России (СССР) с 1989 г. Лицензирование предполагает, что на экспорт и/или импорт отдельных товаров необходимо получать у соответствующего государственного органа специальное разрешение (лицензию).</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Лицензирование в сфере внешней торговли товарами устанавливается в следующих случаях:</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Введение временных количественных ограничений экспорта или импорта отдельных видов товаров;</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разрешительного порядка экспорта и (или) импорта отдельных видов товаров, которые могут оказать неблагоприятное воздействие на безопасность государства, жизнь или здоровье граждан, имущество физических </w:t>
      </w:r>
      <w:r>
        <w:rPr>
          <w:rFonts w:ascii="Times New Roman CYR" w:hAnsi="Times New Roman CYR" w:cs="Times New Roman CYR"/>
          <w:sz w:val="28"/>
          <w:szCs w:val="28"/>
        </w:rPr>
        <w:lastRenderedPageBreak/>
        <w:t>или юридических лиц, государственное или муниципальное имущество, окружающую среду, жизнь или здоровье животных и растений;</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Предоставление исключительного права на экспорт и (или) импорт отдельных видов товаров (например, вооружения, военной техники);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Выполнение Российской Федерацией международных обязательств.</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Другим инструментом прямого количественного ограничения является квотирование (контингентирование).</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Квота - это ограничение в стоимостном или физическом выражении, вводимое на импорт или экспорт конкретных товаров на определенный период времени (например, год, полугодие, квартал и другие периоды).</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эту категорию входят глобальные квоты, квоты, действующие в отношении отдельных стран, сезонные и так называемые «добровольные» ограничения экспорта (англ. voluntary export restrictions). Добровольные ограничения экспорта означает обязательство одного из государств-партнеров, или взаимное обязательство, ограничить торговлю путем введения квот на экспорт товаров. Специфика этого вида торговых ограничений состоит в том, что торговый барьер, защищающий страну импортера, вводится на границе экспортирующей, а не импортирующей страны.</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Например, в феврале 1995 года было подписано соглашение РФ с ЕОУС, содержащие такое обязательство по некоторым изделиям из стали. В 1994 году, например, были введены «добровольные» ограничения по поставке в ЕС карбида кремния, алюминия, текстильных товаров.</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Меры прямого ограничения экспорта и импорта могут вводиться в исключительных случаях Правительством Российской Федерации. Как сказано в ст. 21 закона «Об основах государственного регулирования внешнеторговой деятельности» «Импорт и экспорт товаров осуществляется без количественных ограничений».</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отдельной группы мер можно рассматривать специальные защитные, антидемпинговые и компенсационные меры при импорте товаров. Применение таких мер предусмотрено федеральными законами «Об основах государственного регулирования внешнеторговой деятельности» и «О специальных защитных, антидемпинговых и компенсационных мерах при импорте товара».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нетарифных мер административного характера центральное место занимают количественные ограничения и иные меры сходного характера воздействия.</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своей сути количественные ограничения представляют форму государственного регламентирования условий выхода предприятия на внешний </w:t>
      </w:r>
      <w:r>
        <w:rPr>
          <w:rFonts w:ascii="Times New Roman CYR" w:hAnsi="Times New Roman CYR" w:cs="Times New Roman CYR"/>
          <w:sz w:val="28"/>
          <w:szCs w:val="28"/>
        </w:rPr>
        <w:lastRenderedPageBreak/>
        <w:t>рынок.</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Хотя в настоящее время ГАТТ (статья XI) запрещает использовать количественные ограничения в отношении импорта и экспорта любых товаров, эта нетарифная мера по-прежнему используется (в ряде случаев весьма эффективно) для регулирования международной торговли.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Существование многочисленных исключений из этого правила позволяет обосновывать введение запретов импорта, квотирования, неавтоматического лицензирования причинами экономического и неэкономического характера.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Количественные ограничения в форме запретов на ввоз и (или) вывоз отдельных видов товаров на постоянной или временной (сезонной) основе использовались во внешней торговле с давних пор. Такие запреты устанавливались, как правило, в интересах общественной безопасности (ввоз взрывчатых веществ, оружия), охраны жизни и здоровья населения (ядовитые вещества, животные из районов, охваченных эпидемией) или поддержания режима государственной монополии.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Запреты, используемые в международной практике как средство экономического или финансового давления, принуждения, как форма репрессалий, называются эмбарго (от испанского слова embargo - запрещение). В соответствии с Уставом ООН Совет Безопасности может потребовать от государств - членов ООН установления эмбарго в качестве принудительной меры в отношении государства, действия которого представляют угрозу миру или международной безопасности.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 репрессалиями в международном праве понимаются правомерные принудительные действия государства, предпринимаемые в ответ на наносящие ему моральный или материальный ущерб действия другого государства, осуществляемые последним в нарушение норм международного права. Цель репрессалий - заставить государство-нарушитель прекратить незаконные действия, возместить ущерб и предотвратить повторение подобных актов в будущем.</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Целью эмбарго по общему правилу является не достижение тех или иных экономических выгод и преимуществ, а оказание давления на страну, чаще всего в политических целях. А.В. Холопов выделяет три основных условия, обеспечивающие успех эмбарго: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страна, вводящая эмбарго, имеет высокую эластичность экспортного предложения, иными словами, может относительно безболезненно сократить объем своего экспорта;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 страны, против которой вводится эмбарго, низкая эластичность спроса на импорт, т.е. она сильно зависит от внешней торговли;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вводимые санкции являются неожиданными и масштабными.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запреты на проведение торговых операций и перемещение товара через таможенную границу используются не только в рамках применения экономических санкций, предусмотренных нормами международного права. Продолжает практиковаться установление запретов в одностороннем порядке. В некоторых странах запреты на импорт могут быть связаны с религиозными и культурными традициями, сопряженными с понятиями общественного порядка и публичной морали в данных странах.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Встречаются случаи установления в одностороннем порядке запретов на торговлю, преследующих политические цели (запреты, установленные правительством США в отношении товаров из Кубы, Ирана, КНДР и др.).</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Применяемые отдельными государствами в целях оказания политического давления односторонние меры экономического принуждения (например, экономическое, торговое и финансовое эмбарго США в отношении Кубы) не обладают международной легитимностью и иногда необоснованно именуются санкциями. Принцип суверенного равенства государств исключает возможность правомерного применения одним государством санкций в отношении другого государства или группы стран в одностороннем порядке. В этом случае речь может идти только об ответных мерах (контрмерах), которые санкциями не являются и правомерны лишь постольку, поскольку являются ответом на противоправное деяние другого государства.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Перечни товаров, запрещенных к ввозу в развивающиеся страны, очевидно, свидетельствуют об их протекционистской направленности: в них фигурируют товары, составляющие конкуренцию национальным производителям.</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Наряду с безусловными запретами в международной торговле практикуется применение так называемых условных запретов. Они очень близки к нетарифным мерам технического характера, связанным с соблюдением национальных технических, экологических норм и стандартов.</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Контингентирование, иначе называемое квотированием, может быть определено как ограничение государственной властью в количественном или стоимостном выражении объема продукции, разрешенной к ввозу или вывозу из страны за определенный период. Срок, в течение которого происходит ограничение внешнеторговых поставок, является существенным признаком квотирования. Ограничения внешней торговли путем квотирования при отсутствии временных рамок их применения называются неконкретизированными.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Торгово-политическая роль контингента заключается в защите </w:t>
      </w:r>
      <w:r>
        <w:rPr>
          <w:rFonts w:ascii="Times New Roman CYR" w:hAnsi="Times New Roman CYR" w:cs="Times New Roman CYR"/>
          <w:sz w:val="28"/>
          <w:szCs w:val="28"/>
        </w:rPr>
        <w:lastRenderedPageBreak/>
        <w:t>национальных производителей, в поддержании на внутреннем рынке определенного уровня цен, а часто и в оказании давления на экспортирующую страну. Так, Япония сохраняет квоты на импорт многих сельскохозяйственных продуктов, в ней не производимых, используя квоты как средство давления на переговорах по сбыту японской экспортной продукции, а также в целях избежания зависимости в отношении необходимых продуктов питания, запасы которых могут сократиться в случае плохих климатических условий или неблагоприятной политической ситуации.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практике международной торговли различают квоты: стоимостные и количественные, импортные и экспортные, глобальные и индивидуальные, а также их некоторые специфические разновидности - сезонные, тарифные и др.</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Глобальные квоты устанавливают размер общего импорта данного товара без распределения его между государствами-поставщиками (отсюда и другое название этой разновидности квот - нераспределенные квоты). Квота выбирается по мере поступления заявок от поставщиков. Такая разновидность квотирования сохраняет за импортером возможность выбора страны-поставщика.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квотирование, нужно уделить внимание особенностям экспорта нефти и нефтепродуктов. До 1 января 1995 г. вывоз нефти осуществляли определенные экспортеры, назначаемые государственными органами (спецэкспортеры). В настоящее время квотирование экспорта нефти и нефтепродуктов как таковое отменено. При экспорте нефти и нефтепродуктов применяют "естественное квотирование", заключающееся в ограничении пропускной способности магистральных нефтепроводов, нефтепродуктопроводов и терминалов в морских портах.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условия использования системы магистральных нефтепроводов, нефтепродуктопроводов и терминалов в морских портах для вывоза нефти, нефтепродуктов за пределы таможенной территории Российской федерации утверждены постановлением Правительства РФ от 31 декабря 1994г № 1446 "О вывозе нефти и нефтепродуктов за пределы таможенной территории Российской Федерации с 1 января 1995 года".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Допуск к нефтепроводам предоставляется нефтедобывающим и нефтеперерабатывающим организациям пропорционально объемам добычи (переработки) нефти и нефтепродуктов. Производители нефти и нефтепродуктов могут уступить (передать или продать) свое право экспорта другой организации, в пределах объемов, установленных квартальными графиками транспортировки. Контроль за реализацией права пользования системой магистральных нефтепроводов осуществляет Межведомственная комиссия.</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ПРОБЛЕМЫ И ПЕРСПЕКТИВЫ РАЗВИТИЯ ЭКСПОРТА НЕФТЕПРОДУКТОВ</w:t>
      </w:r>
    </w:p>
    <w:p w:rsidR="00F66867" w:rsidRPr="005E54B0"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3.1 Проблемы, существующие в данной сфере</w:t>
      </w:r>
    </w:p>
    <w:p w:rsidR="00F66867" w:rsidRPr="005E54B0"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Одной из проблем экспорта российской нефти является ее транспортировка. Одна из причин возможного ограничения экспорта сырой нефти из России в том, что трубопроводный экспортный транзит сырой нефти находится в компетенции государственного монополиста «Транснефти», созданного в 1993 г. По этой причине крупные частные капиталовложения не приходят в инфраструктуру трубопроводов. Следующая проблема, ухудшающая экспорт нефтепродуктов это их низкое качество.целью снижение рисков от транзита нефти через другие страны строится система магистральных нефтепроводов БТС-2 (Балтийская трубопроводная система-II), которая позволит связать нефтепровод «Дружба» с российскими морскими портами на Балтийском море по маршруту Унеча - Великие Луки - Усть-Луга (с ответвлением на Киришский НПЗ компании «Сургутнефтегаз»). Мощность первой очереди трубопровода - 35 млн. тонн нефти в год, с возможностью строительства в будущем ответвления на порт Усть-Луга мощностью 15 млн. тонн нефти в год. Протяженность трубопровода - порядка 1300 км. После завершения проекта планируется снизить экспортные поставки по участкам нефтепроводов «Дружба» Унеча - Полоцк и Унеча - Мозырь с 78,9 млн. тонн в год до 27 млн. тонн к 2015 г.</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Также планируется строительство Трансбалканского трубопровода. Проект строительства трубопровода был начат в рамках реализации Соглашения между Правительством РФ, правительством Республики Болгария и Правительством Греческой Республики о сотрудничестве при сооружении и эксплуатации нефтепровода Бургас-Александруполис. Проект предназначен в первую очередь для того, чтобы создать новый надежный и экологически безопасный маршрут поставок нефти в Европу, что поможет разгрузить проливы Босфор и Дарданеллы и повысить энергобезопасность европейского континента. Реализация проекта создаст новый маршрут, который позволит транспортировать российскую и каспийскую нефть из российских портов на Черном море танкерами до порта Бургас (Болгария), а затем по нефтепроводу - в порт Александруполис (Греция) с дальнейшей перевалкой на танкеры и транспортировкой на мировые рынки. Общая протяженность трассы нефтепровода Бургас-Александруполис составляет около 300 километров. Объем прокачки нефти на первом этапе ориентировочно составит 35 млн. тонн в </w:t>
      </w:r>
      <w:r>
        <w:rPr>
          <w:rFonts w:ascii="Times New Roman CYR" w:hAnsi="Times New Roman CYR" w:cs="Times New Roman CYR"/>
          <w:sz w:val="28"/>
          <w:szCs w:val="28"/>
        </w:rPr>
        <w:lastRenderedPageBreak/>
        <w:t>год с возможностью увеличения до 50 млн. тонн.</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мае 2009 г. под руководством Минэнерго России и при участии широкого круга научных организаций и экспертов в области энергетики был подготовлен проект Энергетической стратегии России на период до 2030 г. Энергетическая стратегия России на период до 2030 г. (ЭС-2030) была утверждена распоряжением Правительства Российской Федерации от 13 ноября 2009 г. №1715-р. ЭС-2030 ориентирует отрасль на дальнейшее повышение добычи нефти - до достижения уровня 525 млн. тонн к 2020 г. и до 530-535 млн. тонн к 2030 г.</w:t>
      </w:r>
    </w:p>
    <w:p w:rsidR="00F66867" w:rsidRPr="005E54B0"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Таблица 3.1.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Прогноз поэтапного развития добычи нефти в России до 2030 г., (млн.тонн)</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36"/>
        <w:gridCol w:w="2554"/>
        <w:gridCol w:w="2551"/>
        <w:gridCol w:w="1888"/>
      </w:tblGrid>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F66867">
            <w:pPr>
              <w:widowControl w:val="0"/>
              <w:autoSpaceDE w:val="0"/>
              <w:autoSpaceDN w:val="0"/>
              <w:adjustRightInd w:val="0"/>
              <w:spacing w:after="0" w:line="240" w:lineRule="auto"/>
              <w:rPr>
                <w:rFonts w:ascii="Times New Roman CYR" w:hAnsi="Times New Roman CYR" w:cs="Times New Roman CYR"/>
                <w:sz w:val="20"/>
                <w:szCs w:val="20"/>
              </w:rPr>
            </w:pP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этап (до 2013-2015 гг.)</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этап (до 2020-2022 гг.)</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этап (до 2030 г.)</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Добыча нефти,всего</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486-495</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505-525</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530-535</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Север,Северо-запад</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32-35</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35-36</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42-43</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Поволжье</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49-50</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44-45</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34-36</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Урал</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45-47</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36-41</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25-29</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Кавказ, Прикаспий</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19-20</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21-22</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Тюменская область</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282-297</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275-300</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291-292</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Томская область</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12-13</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11-12</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Восточная Сибирь</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41-52</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75-69</w:t>
            </w:r>
          </w:p>
        </w:tc>
      </w:tr>
      <w:tr w:rsidR="00F66867">
        <w:trPr>
          <w:jc w:val="center"/>
        </w:trPr>
        <w:tc>
          <w:tcPr>
            <w:tcW w:w="2236"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Дальний Восток</w:t>
            </w:r>
          </w:p>
        </w:tc>
        <w:tc>
          <w:tcPr>
            <w:tcW w:w="2554"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23-25</w:t>
            </w:r>
          </w:p>
        </w:tc>
        <w:tc>
          <w:tcPr>
            <w:tcW w:w="2551"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30-31</w:t>
            </w:r>
          </w:p>
        </w:tc>
        <w:tc>
          <w:tcPr>
            <w:tcW w:w="1888" w:type="dxa"/>
            <w:tcBorders>
              <w:top w:val="single" w:sz="6" w:space="0" w:color="auto"/>
              <w:left w:val="single" w:sz="6" w:space="0" w:color="auto"/>
              <w:bottom w:val="single" w:sz="6" w:space="0" w:color="auto"/>
              <w:right w:val="single" w:sz="6" w:space="0" w:color="auto"/>
            </w:tcBorders>
          </w:tcPr>
          <w:p w:rsidR="00F66867" w:rsidRDefault="00823FF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32-33</w:t>
            </w:r>
          </w:p>
        </w:tc>
      </w:tr>
    </w:tbl>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расчеты автора, предварительные данные</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Предполагается, что в европейской части страны добыча нефти будет расти за счет освоения ее запасов в Тимано-Печорской провинции, на континентальном шельфе арктических морей и в российском секторе Каспийского моря при снижении добычи в Поволжье и на Урале. В Западной Сибири на фоне стабилизации и постепенного понижения добычи нефти в ХМАО-Югре в ЯНАО предвидится позитивная динамика. В Восточной Сибири освоение и промышленная разработка месторождений нефти предполагается в Ванкорско-Сузунском районе на северо-западе Красноярского края, вдоль трассы нефтепровода ВСТО в Красноярском крае, Иркутской области и Якутии (Верхнечонское, Талаканское, Среднеботуобинское, Юрубчено-Тохомское и др. месторождения). На Дальнем Востоке центрами нефтедобычи останутся проекты </w:t>
      </w:r>
      <w:r>
        <w:rPr>
          <w:rFonts w:ascii="Times New Roman CYR" w:hAnsi="Times New Roman CYR" w:cs="Times New Roman CYR"/>
          <w:sz w:val="28"/>
          <w:szCs w:val="28"/>
        </w:rPr>
        <w:lastRenderedPageBreak/>
        <w:t>«Сахалин-1», «Сахалин-2», к которым могут добавиться и другие морские месторождения.</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проблемам экспорта нефти и нефтепродуктов можно отнести: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неэффективная инфраструктура, ограничивающая экспортные поставки нефти;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инвестиционные возможности нефтяных компаний, обусловленные высокой налоговой нагрузкой на отрасль;</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степень монополизации рынков нефтепродуктов всероссийского, регионального и местного масштаба;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износ основных фондов нефтеперерабатывающей промышленности.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в нефтяной промышленности происходит по следующим направлениям, способствующим увеличению объемов экспорта нефти и нефтепродуктов из России: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система нефтепроводов, упрощающих поставку;</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притока инвестиций в разработку новых месторождений и развитие транспортной инфраструктуры;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новых крупных центров добычи нефти и разработка месторождений на шельфе;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внедрения перспективных технологий добычи и переработки нефти;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присутствия ведущих российских нефтяных компаний на внешних рынках.</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помимо развития трубопроводной системы активно развивается морская транспортировка нефти.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приоритетных направлений является расширение присутствия </w:t>
      </w:r>
      <w:r>
        <w:rPr>
          <w:rFonts w:ascii="Times New Roman CYR" w:hAnsi="Times New Roman CYR" w:cs="Times New Roman CYR"/>
          <w:sz w:val="28"/>
          <w:szCs w:val="28"/>
        </w:rPr>
        <w:lastRenderedPageBreak/>
        <w:t>ведущих российских нефтяных компаний на рынках других стран.</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нефтяная промышленность в настоящее время является основой национальной экономики России. Нефтяная отрасль включает: нефтедобывающие предприятия, нефтеперерабатывающие заводы и предприятия по транспортировке и сбыту нефти и нефтепродуктов. По разведанным запасам нефти Россия является одним из лидеров в числе ведущих нефтедобывающих стран мира. В ее недрах сосредоточено около 10% мировых запасов нефти. В последние годы Россия занимает лидирующие позиции по объему добычи сырой нефти и обеспечивает 12% мировой торговли нефтью.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2000 г. нефтяная промышленность России развивалась менее благоприятно. Однако за следующие 10 лет объемы добычи выросли в 1,5 раза. Основу отрасли составляют 9 крупнейших вертикально интегрированных нефтяных компаний (ВИНК). Наиболее мощными из них являются нефтяные компании «Роснефть», «ЛУКОЙЛ», «Сургутнефтегаз», «ТНК-ВР» и «Газпром нефть». За 1992-2010 гг. из России вывезли около 4,5 млрд. тонн нефти и нефтепродуктов. Основные страны-импортеры российской нефти - Великобритания, Франция, Италия, Германия и Испания. Удельный вес экспорта нефти в общем объеме российского экспорта в 2010 г. составил 34,0%, в экспорте топливно-энергетических товаров - 50,3%.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потоки нефти из России идут в дальнее зарубежье. В страны СНГ нефть экспортируется в небольших объемах - около 5% вывозимой нефти из России. За 2000-2010 года доход от экспорта нефти вырос с 25,3 млрд. долл. до 129,1 млрд. долл. В России применяются пять сортов нефти, которые отличаются по качественным характеристикам: Siberian Light (легкая западносибирская), Urals (смесь Siberian Light и высокосернистой нефти Урала и Поволжья), Sokol (смесь нефти, добываемой на российском Дальнем Востоке и в Восточной </w:t>
      </w:r>
      <w:r>
        <w:rPr>
          <w:rFonts w:ascii="Times New Roman CYR" w:hAnsi="Times New Roman CYR" w:cs="Times New Roman CYR"/>
          <w:sz w:val="28"/>
          <w:szCs w:val="28"/>
        </w:rPr>
        <w:lastRenderedPageBreak/>
        <w:t xml:space="preserve">Сибири), Rebco и ESPO (ВСТО). Объемы экспорта нефтепродуктов за 2000-2010 гг. имели тенденцию к росту и в 2010 г. объем составил 131,34 млн. тонн.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основным проблемам экспорта относятся: неэффективная инфраструктура, ограничивающая экспортные поставки нефти; низкие инвестиционные возможности нефтяных компаний, обусловленные высокой налоговой нагрузкой на отрасль; большая степень монополизации рынков нефтепродуктов всероссийского, регионального и местного масштаба; высокий износ основных фондов нефтеперерабатывающей промышленности. Предполагается, что в будущем уровень экспорта нефти и нефтепродуктов из Российской Федерации повысится.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такой перспективы планируется строительство новых трубопроводов, разработка новых месторождений и развитие центров добычи нефти, применение новых технологий при добыче и переработки нефти, расширение присутствия ведущих российских нефтяных компаний на внешних рынках.</w:t>
      </w:r>
    </w:p>
    <w:p w:rsidR="00F66867" w:rsidRPr="005E54B0"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Перспективы развития экспорта нефтепродуктов</w:t>
      </w:r>
    </w:p>
    <w:p w:rsidR="00F66867" w:rsidRPr="005E54B0"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поддержания сложных нефтедобывающих проектов предполагается сохранить в перспективе практику дифференциации таможенно-тарифного режима для нефти, добываемой на месторождениях, характеризующиеся сложными геолого-экономическими и природно-климатическими условиями.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Указанная работа начала проводиться с 2013 года в рамках транспарентной процедуры оценки и анализа технико-экономических параметров каждого проекта.</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части регулирования экспорта нефтепродуктов в среднесрочной перспективе останутся неизменными параметры ранее введенного таможенно-тарифного режима «60-66», в частности, для мазута будет установлена ставка вывозной пошлины на уровне сырой нефти с 2015 года при сохранении единой пошлины на прочие нефтепродукты(за исключением бензинов) на уровне 66% от пошлины на нефть.</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отношении ставок пошлины для бензинов в среднесрочной перспективе (после2015 года) будет рассмотрена целесообразность принятия решения (дифференцированно на товарные бензины) о снижении до уровня менее 90% от пошлины на нефть, но не ниже уровня пошлин на «светлые» нефтепродукты.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решение об изменении ставок пошлин для бензинов будет осуществлено с учетом хода фактической реализации программ модернизации российской нефтепереработки.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краткосрочной перспективе в целях восполнения возможногодефицита бензинов будет рассмотрена целесообразность повышения ставок вывозных таможенных пошлин на октаноповышающие добавки.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течение 2013-2014 годов на постоянной основе будет проводиться мониторинг производства, экспорта и потребления нефтяного кокса для подготовки предложений по оптимизации таможенно-тарифного режима в отношенииэкспорта некальцинированного нефтяного коксав случае наличиядисбаланса на внутреннем рынке.</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2015-2016 годам в отношении экспорта сжиженных углеводородных газов по мере реализации проектов нефтехимических предприятий по запуску пиролизных мощностей и в целях обеспечения преимущественной поставки сырья на внутренний рынок планируется пересмотреть механизм и уровень ставки вывозной пошлины. Конкретные параметры изменений будут определены с учетом складывающейся рыночной конъюнктуры.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направлений работы станет углубление сотрудничества с партнерами по Таможенному союзу в области урегулирования вопросов по поставке нефти и нефтепродуктов. С учетом Соглашения Таможенного союза о порядке организации, управления, функционирования и развития общих рынков нефти и нефтепродуктов Республики Беларусь, Республики Казахстан и Российской Федерацииот9 декабря 2010 г.планируется оптимизировать соответствующиемеханизмы двусторонних отношений.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Указанная работа будет касаться продления срока действия Соглашения между Правительством Республики Беларусь и Правительством Российской Федерации «Об определении порядка уплаты вывозных таможенных пошлин (иных пошлин, налогов и сборов, имеющих эквивалентное действие) при вывозе нефти и нефтепродуктов с территории Республики Беларусь за пределы таможенной территории Таможенного союза» от 9 декабря 2010 г., а также уточнения положений Соглашения между Правительством Российской Федерации и Правительством Республики Казахстан о торгово-экономическом </w:t>
      </w:r>
      <w:r>
        <w:rPr>
          <w:rFonts w:ascii="Times New Roman CYR" w:hAnsi="Times New Roman CYR" w:cs="Times New Roman CYR"/>
          <w:sz w:val="28"/>
          <w:szCs w:val="28"/>
        </w:rPr>
        <w:lastRenderedPageBreak/>
        <w:t xml:space="preserve">сотрудничестве в области поставок нефти и нефтепродуктов в Республику Казахстан.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экспорте углеводородов в СНГ, включая Киргизию и Таджикистан, планируется предоставлять беспошлинный режим вывоза российской нефти и нефтепродуктовпри гарантиях соблюдения и фактическом обеспечении экономических интересов РоссийскойФедерации, в том числев отношении реэкспортароссийских товаров. В краткосрочной перспективе ожидается подписание двусторонних соглашений о сотрудничестве в сфере поставки нефти и нефтепродуктов, предусматривающих беспошлинный режим поставок в рамках утвержденных годовых балансов, обеспечивающих потребности внутреннего рынка указанных государств. </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области регулирования экспорта металлургического сырья планируется сохранить действующий порядок установления экспортных пошлин на медь рафинированную и никель нелегированный. В случае возникновения дисбалансов внутреннего рынка будут рассмотрены варианты введения пошлин на иные металлы.</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таможенно-тарифной политики в области нефтедобычи и нефтепереработки будет являться стимулирование инвестиционной активности для осуществления модернизации нефтепереработки в целях повышения глубины переработки и качества выпускаемых нефтепродуктов, а также реализации новых проектов по нефтедобыче и восполнению запасов нефти.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будут приняты решения по изменению действующей законодательной базы, позволяющие временно снижать вывозные таможенные пошлины на нефть, добываемую на новых перспективных месторождениях, что позволит повысить рентабельность их разработки.</w:t>
      </w: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Будет законодательно закреплена формула расчета ставок вывозных </w:t>
      </w:r>
      <w:r>
        <w:rPr>
          <w:rFonts w:ascii="Times New Roman CYR" w:hAnsi="Times New Roman CYR" w:cs="Times New Roman CYR"/>
          <w:sz w:val="28"/>
          <w:szCs w:val="28"/>
        </w:rPr>
        <w:lastRenderedPageBreak/>
        <w:t>таможенных пошлин на нефтепродукты, что позволит обеспечить транспарентность и стабильность прогнозирования долгосрочных финансовых показателей предприятий и планирования их развития. При этомбудутвыровненыставки вывозных таможенных пошлин на «светлые» и «темные» нефтепродукты в целях повышения эффективности экспорта товаров более глубокой переработки.</w:t>
      </w:r>
    </w:p>
    <w:p w:rsidR="00F66867"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Pr="005E54B0"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F66867" w:rsidRPr="005E54B0" w:rsidRDefault="00F66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Россия является одним из крупнейших участников мирового энергетического рынка, ключевым поставщиком нефти и нефтепродуктов для европейских стран; наращивает поставки нефти в страны Азиатско - тихоокеанского региона.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Весомая доля России на мировом нефтяном рынке делает страну одним из ведущих участников системы глобальной энергетической безопасности. При экспорте нефти и отдельных категорий товаров, выработанных из нефти, нефтяные компании уплачивают вывозные таможенные пошлины &lt;http://www.brokert.ru/services/tamojennye-poshliny&gt;, за счет которых, в том числе формируются нефтегазовые доходы федерального бюджета.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доходы, которые приносит государству нефтяная промышленность, делают ее одной из самых значимых стратегических отраслей промышленности в России. Долгое время государство с помощью нефтяного сектора решало лишь бюджетные проблемы, что не могло не сказаться на отрасли. Для наращивания добычи нефти, расширения и модернизации перерабатывающих мощностей необходимо принятие комплексных мер в области налогообложения (в том числе в области таможенно-тарифного регулирования) нефтяной отрасли. Повышение эффективности нефтяной промышленности будет способствовать еще большему притоку инвестиций в данную отрасль, что принесет значительные экономические и социальные выгоды.</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прошедшее десятилетие решения в области установления соотношения между экспортными пошлинами на нефть и нефтепродукты пересматривались очень быстро. Со II квартала 2001 до февраля 2003 г. экспортная пошлина на светлые нефтепродукты была выше, чем на нефть. В таких условиях экспортировать нефтепродукты невыгодно. В период с февраля 2003 по апрель 2005 г. пошлины на светлые и темные нефтепродукты устанавливались на одном уровне, но более низком, чем пошлина на нефть.</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Политика в области экспортных пошлин не замедлила сказаться на объеме нефтепереработки: он снизился до 180 - 185 млн т в 2001 - 2002 гг. и приблизился к объему внутренней потребности в нефтепродуктах. С 2005 по 2010 г. был установлен налоговый режим, при котором соотношение вывозной пошлины на светлые нефтепродукты и на нефть составляло около 70%, а аналогичное </w:t>
      </w:r>
      <w:r>
        <w:rPr>
          <w:rFonts w:ascii="Times New Roman CYR" w:hAnsi="Times New Roman CYR" w:cs="Times New Roman CYR"/>
          <w:sz w:val="28"/>
          <w:szCs w:val="28"/>
        </w:rPr>
        <w:lastRenderedPageBreak/>
        <w:t>соотношение для мазута - 40%. Таким образом, были созданы мощные стимулы для максимально возможного расширения производства продуктов нефтепереработки на существующих мощностях. Одновременно такой налоговый режим способствовал консервации технического уровня в отрасли. Изменения в налогообложении нефти и нефтепродуктов влияют на абсолютную и относительную эффективность их экспорта.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оснований для введения в 2005 г. соотношения между экспортной пошлиной на нефть и светлые нефтепродукты на уровне 70% и на мазут на уровне 40% было стремление удовлетворить возросшую внутреннюю потребность в бензине. Для этого пришлось задействовать все имеющиеся мощности, в том числе с низкой глубиной нефтепереработки.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Сегодня можно констатировать, что указанная задача была решена. Объем производства бензина вырос с 30,5 млн т в 2004 г. до 36 млн т в 2010 г. Однако за это решение пришлось заплатить высокую цену. Глубина переработки нефти за прошедшее десятилетие в России практически не изменилась.</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в России углубляется диспропорция между производственными мощностями по первичной и вторичной переработке нефти: мощностей первого рода в России избыток, второго-недостаток. При современном техническом состоянии российские нефтеперерабатывающие заводы, не могут выпускать достаточный объем продукции, удовлетворяющей современным экологическим стандартам, а старение оборудования повышает риск техногенных катастроф. В недалеком будущем это грозит ростом импорта моторного топлива и потерей энергетической независимости.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Введение налогового режима в 2011 г. «60/66» заметно изменил структуру доходов российских нефтяных компаний от экспорта нефти и нефтепродуктов.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«Экспортный набор» нефтепродуктов стал приносить меньшую прибыль, чем экспорт нефти, хотя продавать на экспорт дизельное топливо все еще выгоднее, чем нефть.Можно ожидать, что в ближайшей перспективе экспорт нефтепродуктов сократится в абсолютном выражении, а предприятия с долей производства мазута выше среднероссийской, столкнутся с угрозой остановки, исходя из общеэкономических соображений. Конечно, в реальности этого может и не произойти, переработка нефти и экспорт нефтепродуктов могут оставаться экономически привлекательными, например, в случае достижения нефтяными компаниями лимита по экспортным квотам на нефть. Сокращение объемов переработки нефти может привести к дефициту бензина на внутреннем рынке.</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принципе это должно побуждать нефтяные компании вкладывать средства в модернизацию нефтепереработки. В противном случае ее общий объем должен сократиться примерно в два раза.</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Вероятно, для создания современной нефтеперерабатывающей отрасли правительству придется действовать не только кнутом, но и пряником, иначе вся российская экономика станет заложником склонности нефтяных компаний к инвестированию в нефтепереработку.</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поддержания сложных нефтедобывающих проектов предполагается сохранить в перспективе практику дифференциации таможенно-тарифного режима для нефти, добываемой на месторождениях, характеризующиеся сложными геолого-экономическими и природно-климатическими условиями.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Одним из главных направлений работы в настоящее время, для стабилизации рынка, станет углубление сотрудничества с партнерами по Таможенному союзу в области урегулирования вопросов по поставке нефти и нефтепродуктов. </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задачей таможенно-тарифной политики в области нефтедобычи и нефтепереработки будет являться стимулирование инвестиционной активности для осуществления модернизации нефтепереработки в целях повышения глубины переработки и качества выпускаемых нефтепродуктов, а также реализации новых проектов по нефтедобыче и восполнению запасов нефти.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этой связи будут приняты решения по изменению действующей законодательной базы, позволяющие временно снижать вывозные таможенные пошлины на нефть, добываемую на новых перспективных месторождениях, что позволит повысить рентабельность их разработки.</w:t>
      </w:r>
    </w:p>
    <w:p w:rsidR="00F66867"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Будет законодательно закреплена формула расчета ставок вывозных таможенных пошлин на нефтепродукты, что позволит обеспечить транспарентность и стабильность прогнозирования долгосрочных финансовых показателей предприятий и планирования их развития. При этом, будут выровнены ставки вывозных таможенных пошлин на «светлые» и «темные» нефтепродукты в целях повышения эффективности экспорта товаров более глубокой переработки.</w:t>
      </w:r>
    </w:p>
    <w:p w:rsidR="00F66867"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Pr="005E54B0" w:rsidRDefault="00823FF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F66867" w:rsidRPr="005E54B0" w:rsidRDefault="00F6686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w:t>
      </w:r>
      <w:r>
        <w:rPr>
          <w:rFonts w:ascii="Times New Roman" w:hAnsi="Times New Roman" w:cs="Times New Roman"/>
          <w:sz w:val="28"/>
          <w:szCs w:val="28"/>
        </w:rPr>
        <w:t>þ</w:t>
      </w:r>
      <w:r>
        <w:rPr>
          <w:rFonts w:ascii="Times New Roman CYR" w:hAnsi="Times New Roman CYR" w:cs="Times New Roman CYR"/>
          <w:sz w:val="28"/>
          <w:szCs w:val="28"/>
        </w:rPr>
        <w:t>туци</w:t>
      </w:r>
      <w:r>
        <w:rPr>
          <w:rFonts w:ascii="Times New Roman" w:hAnsi="Times New Roman" w:cs="Times New Roman"/>
          <w:sz w:val="28"/>
          <w:szCs w:val="28"/>
        </w:rPr>
        <w:t>þ</w:t>
      </w:r>
      <w:r>
        <w:rPr>
          <w:rFonts w:ascii="Times New Roman CYR" w:hAnsi="Times New Roman CYR" w:cs="Times New Roman CYR"/>
          <w:sz w:val="28"/>
          <w:szCs w:val="28"/>
        </w:rPr>
        <w:t>я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При</w:t>
      </w:r>
      <w:r>
        <w:rPr>
          <w:rFonts w:ascii="Times New Roman" w:hAnsi="Times New Roman" w:cs="Times New Roman"/>
          <w:sz w:val="28"/>
          <w:szCs w:val="28"/>
        </w:rPr>
        <w:t>þ</w:t>
      </w:r>
      <w:r>
        <w:rPr>
          <w:rFonts w:ascii="Times New Roman CYR" w:hAnsi="Times New Roman CYR" w:cs="Times New Roman CYR"/>
          <w:sz w:val="28"/>
          <w:szCs w:val="28"/>
        </w:rPr>
        <w:t>нята на всенародном референдуме от 12.12.93 года</w:t>
      </w:r>
      <w:r>
        <w:rPr>
          <w:rFonts w:ascii="Times New Roman" w:hAnsi="Times New Roman" w:cs="Times New Roman"/>
          <w:sz w:val="28"/>
          <w:szCs w:val="28"/>
        </w:rPr>
        <w:t xml:space="preserve"> þþ</w:t>
      </w:r>
      <w:r>
        <w:rPr>
          <w:rFonts w:ascii="Times New Roman CYR" w:hAnsi="Times New Roman CYR" w:cs="Times New Roman CYR"/>
          <w:sz w:val="28"/>
          <w:szCs w:val="28"/>
        </w:rPr>
        <w:t>.</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w:hAnsi="Times New Roman" w:cs="Times New Roman"/>
          <w:sz w:val="28"/>
          <w:szCs w:val="28"/>
        </w:rPr>
        <w:t>þþ</w:t>
      </w:r>
      <w:r>
        <w:rPr>
          <w:rFonts w:ascii="Times New Roman CYR" w:hAnsi="Times New Roman CYR" w:cs="Times New Roman CYR"/>
          <w:sz w:val="28"/>
          <w:szCs w:val="28"/>
        </w:rPr>
        <w:t>Таможенный кодекс Таможенного союза принят 2 и</w:t>
      </w:r>
      <w:r>
        <w:rPr>
          <w:rFonts w:ascii="Times New Roman" w:hAnsi="Times New Roman" w:cs="Times New Roman"/>
          <w:sz w:val="28"/>
          <w:szCs w:val="28"/>
        </w:rPr>
        <w:t>þ</w:t>
      </w:r>
      <w:r>
        <w:rPr>
          <w:rFonts w:ascii="Times New Roman CYR" w:hAnsi="Times New Roman CYR" w:cs="Times New Roman CYR"/>
          <w:sz w:val="28"/>
          <w:szCs w:val="28"/>
        </w:rPr>
        <w:t>юня 2010 г. (Федеральный закон от 2 и</w:t>
      </w:r>
      <w:r>
        <w:rPr>
          <w:rFonts w:ascii="Times New Roman" w:hAnsi="Times New Roman" w:cs="Times New Roman"/>
          <w:sz w:val="28"/>
          <w:szCs w:val="28"/>
        </w:rPr>
        <w:t>þ</w:t>
      </w:r>
      <w:r>
        <w:rPr>
          <w:rFonts w:ascii="Times New Roman CYR" w:hAnsi="Times New Roman CYR" w:cs="Times New Roman CYR"/>
          <w:sz w:val="28"/>
          <w:szCs w:val="28"/>
        </w:rPr>
        <w:t>юня 2010 г. N 114-ФЗ), Республи</w:t>
      </w:r>
      <w:r>
        <w:rPr>
          <w:rFonts w:ascii="Times New Roman" w:hAnsi="Times New Roman" w:cs="Times New Roman"/>
          <w:sz w:val="28"/>
          <w:szCs w:val="28"/>
        </w:rPr>
        <w:t>þ</w:t>
      </w:r>
      <w:r>
        <w:rPr>
          <w:rFonts w:ascii="Times New Roman CYR" w:hAnsi="Times New Roman CYR" w:cs="Times New Roman CYR"/>
          <w:sz w:val="28"/>
          <w:szCs w:val="28"/>
        </w:rPr>
        <w:t>ка Казахстан - 25 и</w:t>
      </w:r>
      <w:r>
        <w:rPr>
          <w:rFonts w:ascii="Times New Roman" w:hAnsi="Times New Roman" w:cs="Times New Roman"/>
          <w:sz w:val="28"/>
          <w:szCs w:val="28"/>
        </w:rPr>
        <w:t>þ</w:t>
      </w:r>
      <w:r>
        <w:rPr>
          <w:rFonts w:ascii="Times New Roman CYR" w:hAnsi="Times New Roman CYR" w:cs="Times New Roman CYR"/>
          <w:sz w:val="28"/>
          <w:szCs w:val="28"/>
        </w:rPr>
        <w:t>юня 2010 г., Республи</w:t>
      </w:r>
      <w:r>
        <w:rPr>
          <w:rFonts w:ascii="Times New Roman" w:hAnsi="Times New Roman" w:cs="Times New Roman"/>
          <w:sz w:val="28"/>
          <w:szCs w:val="28"/>
        </w:rPr>
        <w:t>þ</w:t>
      </w:r>
      <w:r>
        <w:rPr>
          <w:rFonts w:ascii="Times New Roman CYR" w:hAnsi="Times New Roman CYR" w:cs="Times New Roman CYR"/>
          <w:sz w:val="28"/>
          <w:szCs w:val="28"/>
        </w:rPr>
        <w:t>ка Беларусь - 2 и</w:t>
      </w:r>
      <w:r>
        <w:rPr>
          <w:rFonts w:ascii="Times New Roman" w:hAnsi="Times New Roman" w:cs="Times New Roman"/>
          <w:sz w:val="28"/>
          <w:szCs w:val="28"/>
        </w:rPr>
        <w:t>þ</w:t>
      </w:r>
      <w:r>
        <w:rPr>
          <w:rFonts w:ascii="Times New Roman CYR" w:hAnsi="Times New Roman CYR" w:cs="Times New Roman CYR"/>
          <w:sz w:val="28"/>
          <w:szCs w:val="28"/>
        </w:rPr>
        <w:t>юля 2010 г. (Закон Республи</w:t>
      </w:r>
      <w:r>
        <w:rPr>
          <w:rFonts w:ascii="Times New Roman" w:hAnsi="Times New Roman" w:cs="Times New Roman"/>
          <w:sz w:val="28"/>
          <w:szCs w:val="28"/>
        </w:rPr>
        <w:t>þ</w:t>
      </w:r>
      <w:r>
        <w:rPr>
          <w:rFonts w:ascii="Times New Roman CYR" w:hAnsi="Times New Roman CYR" w:cs="Times New Roman CYR"/>
          <w:sz w:val="28"/>
          <w:szCs w:val="28"/>
        </w:rPr>
        <w:t>ки</w:t>
      </w:r>
      <w:r>
        <w:rPr>
          <w:rFonts w:ascii="Times New Roman" w:hAnsi="Times New Roman" w:cs="Times New Roman"/>
          <w:sz w:val="28"/>
          <w:szCs w:val="28"/>
        </w:rPr>
        <w:t>þ</w:t>
      </w:r>
      <w:r>
        <w:rPr>
          <w:rFonts w:ascii="Times New Roman CYR" w:hAnsi="Times New Roman CYR" w:cs="Times New Roman CYR"/>
          <w:sz w:val="28"/>
          <w:szCs w:val="28"/>
        </w:rPr>
        <w:t xml:space="preserve"> Беларусь от 2 и</w:t>
      </w:r>
      <w:r>
        <w:rPr>
          <w:rFonts w:ascii="Times New Roman" w:hAnsi="Times New Roman" w:cs="Times New Roman"/>
          <w:sz w:val="28"/>
          <w:szCs w:val="28"/>
        </w:rPr>
        <w:t>þ</w:t>
      </w:r>
      <w:r>
        <w:rPr>
          <w:rFonts w:ascii="Times New Roman CYR" w:hAnsi="Times New Roman CYR" w:cs="Times New Roman CYR"/>
          <w:sz w:val="28"/>
          <w:szCs w:val="28"/>
        </w:rPr>
        <w:t>юля 2010 г. N 158-З)</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Соглашение от 9 декабря 2010 года "О порядке организации, управления, функционирования и развития общих рынков нефти и нефтепродуктов Республики Беларусь, Республики Казахстан и Российской Федерации"</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таможенном регулировании» № 311- ФЗ</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таможенном тарифе: Закон РФ от 21 мая 1993 г. №5003-1 [Электронный ресурс]. Доступ из справ.-правовой системы «Консультант Плюс».</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железнодорожном транспорте в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//СЗРФ, 2003, № 17» .</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«Устав железнодорожного транспорта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//СЗРФ, 2003, № 2, ст. 170; №28, ст2891.</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основах государственного регулирования внешнеторговой деятельности: Федеральный закон РФ от 08 дек. 2003 г. №164-ФЗ // Рос. газ. - 2003. - 18 дек.</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регламенте Федеральной таможенной службы: При</w:t>
      </w:r>
      <w:r>
        <w:rPr>
          <w:rFonts w:ascii="Times New Roman" w:hAnsi="Times New Roman" w:cs="Times New Roman"/>
          <w:sz w:val="28"/>
          <w:szCs w:val="28"/>
        </w:rPr>
        <w:t>þ</w:t>
      </w:r>
      <w:r>
        <w:rPr>
          <w:rFonts w:ascii="Times New Roman CYR" w:hAnsi="Times New Roman CYR" w:cs="Times New Roman CYR"/>
          <w:sz w:val="28"/>
          <w:szCs w:val="28"/>
        </w:rPr>
        <w:t>каз ФТС РФ от 28.11.2007 № 1479 (Зареги</w:t>
      </w:r>
      <w:r>
        <w:rPr>
          <w:rFonts w:ascii="Times New Roman" w:hAnsi="Times New Roman" w:cs="Times New Roman"/>
          <w:sz w:val="28"/>
          <w:szCs w:val="28"/>
        </w:rPr>
        <w:t>þ</w:t>
      </w:r>
      <w:r>
        <w:rPr>
          <w:rFonts w:ascii="Times New Roman CYR" w:hAnsi="Times New Roman CYR" w:cs="Times New Roman CYR"/>
          <w:sz w:val="28"/>
          <w:szCs w:val="28"/>
        </w:rPr>
        <w:t>стри</w:t>
      </w:r>
      <w:r>
        <w:rPr>
          <w:rFonts w:ascii="Times New Roman" w:hAnsi="Times New Roman" w:cs="Times New Roman"/>
          <w:sz w:val="28"/>
          <w:szCs w:val="28"/>
        </w:rPr>
        <w:t>þ</w:t>
      </w:r>
      <w:r>
        <w:rPr>
          <w:rFonts w:ascii="Times New Roman CYR" w:hAnsi="Times New Roman CYR" w:cs="Times New Roman CYR"/>
          <w:sz w:val="28"/>
          <w:szCs w:val="28"/>
        </w:rPr>
        <w:t>ровано в Ми</w:t>
      </w:r>
      <w:r>
        <w:rPr>
          <w:rFonts w:ascii="Times New Roman" w:hAnsi="Times New Roman" w:cs="Times New Roman"/>
          <w:sz w:val="28"/>
          <w:szCs w:val="28"/>
        </w:rPr>
        <w:t>þ</w:t>
      </w:r>
      <w:r>
        <w:rPr>
          <w:rFonts w:ascii="Times New Roman CYR" w:hAnsi="Times New Roman CYR" w:cs="Times New Roman CYR"/>
          <w:sz w:val="28"/>
          <w:szCs w:val="28"/>
        </w:rPr>
        <w:t>нюсте РФ 29.12.2007 № 10870)</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РФ N 261 "Об утверждении ставок вывозных таможенных пошлин на нефть сырую и на отдельные категории товаров, выработанные из нефти, вывозимые за пределы территории Российской </w:t>
      </w:r>
      <w:r>
        <w:rPr>
          <w:rFonts w:ascii="Times New Roman CYR" w:hAnsi="Times New Roman CYR" w:cs="Times New Roman CYR"/>
          <w:sz w:val="28"/>
          <w:szCs w:val="28"/>
        </w:rPr>
        <w:lastRenderedPageBreak/>
        <w:t>Федерации и территории государств - участников соглашений о Таможенном союзе"</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по техни</w:t>
      </w:r>
      <w:r>
        <w:rPr>
          <w:rFonts w:ascii="Times New Roman" w:hAnsi="Times New Roman" w:cs="Times New Roman"/>
          <w:sz w:val="28"/>
          <w:szCs w:val="28"/>
        </w:rPr>
        <w:t>þ</w:t>
      </w:r>
      <w:r>
        <w:rPr>
          <w:rFonts w:ascii="Times New Roman CYR" w:hAnsi="Times New Roman CYR" w:cs="Times New Roman CYR"/>
          <w:sz w:val="28"/>
          <w:szCs w:val="28"/>
        </w:rPr>
        <w:t>ческому обслужи</w:t>
      </w:r>
      <w:r>
        <w:rPr>
          <w:rFonts w:ascii="Times New Roman" w:hAnsi="Times New Roman" w:cs="Times New Roman"/>
          <w:sz w:val="28"/>
          <w:szCs w:val="28"/>
        </w:rPr>
        <w:t>þ</w:t>
      </w:r>
      <w:r>
        <w:rPr>
          <w:rFonts w:ascii="Times New Roman CYR" w:hAnsi="Times New Roman CYR" w:cs="Times New Roman CYR"/>
          <w:sz w:val="28"/>
          <w:szCs w:val="28"/>
        </w:rPr>
        <w:t>вани</w:t>
      </w:r>
      <w:r>
        <w:rPr>
          <w:rFonts w:ascii="Times New Roman" w:hAnsi="Times New Roman" w:cs="Times New Roman"/>
          <w:sz w:val="28"/>
          <w:szCs w:val="28"/>
        </w:rPr>
        <w:t>þ</w:t>
      </w:r>
      <w:r>
        <w:rPr>
          <w:rFonts w:ascii="Times New Roman CYR" w:hAnsi="Times New Roman CYR" w:cs="Times New Roman CYR"/>
          <w:sz w:val="28"/>
          <w:szCs w:val="28"/>
        </w:rPr>
        <w:t>ю техни</w:t>
      </w:r>
      <w:r>
        <w:rPr>
          <w:rFonts w:ascii="Times New Roman" w:hAnsi="Times New Roman" w:cs="Times New Roman"/>
          <w:sz w:val="28"/>
          <w:szCs w:val="28"/>
        </w:rPr>
        <w:t>þ</w:t>
      </w:r>
      <w:r>
        <w:rPr>
          <w:rFonts w:ascii="Times New Roman CYR" w:hAnsi="Times New Roman CYR" w:cs="Times New Roman CYR"/>
          <w:sz w:val="28"/>
          <w:szCs w:val="28"/>
        </w:rPr>
        <w:t>чески</w:t>
      </w:r>
      <w:r>
        <w:rPr>
          <w:rFonts w:ascii="Times New Roman" w:hAnsi="Times New Roman" w:cs="Times New Roman"/>
          <w:sz w:val="28"/>
          <w:szCs w:val="28"/>
        </w:rPr>
        <w:t>þ</w:t>
      </w:r>
      <w:r>
        <w:rPr>
          <w:rFonts w:ascii="Times New Roman CYR" w:hAnsi="Times New Roman CYR" w:cs="Times New Roman CYR"/>
          <w:sz w:val="28"/>
          <w:szCs w:val="28"/>
        </w:rPr>
        <w:t>х средств в таможенных органах: При</w:t>
      </w:r>
      <w:r>
        <w:rPr>
          <w:rFonts w:ascii="Times New Roman" w:hAnsi="Times New Roman" w:cs="Times New Roman"/>
          <w:sz w:val="28"/>
          <w:szCs w:val="28"/>
        </w:rPr>
        <w:t>þ</w:t>
      </w:r>
      <w:r>
        <w:rPr>
          <w:rFonts w:ascii="Times New Roman CYR" w:hAnsi="Times New Roman CYR" w:cs="Times New Roman CYR"/>
          <w:sz w:val="28"/>
          <w:szCs w:val="28"/>
        </w:rPr>
        <w:t xml:space="preserve">каз ГТК РФ от 20.11.2002 № 1237 </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грани</w:t>
      </w:r>
      <w:r>
        <w:rPr>
          <w:rFonts w:ascii="Times New Roman" w:hAnsi="Times New Roman" w:cs="Times New Roman"/>
          <w:sz w:val="28"/>
          <w:szCs w:val="28"/>
        </w:rPr>
        <w:t>þ</w:t>
      </w:r>
      <w:r>
        <w:rPr>
          <w:rFonts w:ascii="Times New Roman CYR" w:hAnsi="Times New Roman CYR" w:cs="Times New Roman CYR"/>
          <w:sz w:val="28"/>
          <w:szCs w:val="28"/>
        </w:rPr>
        <w:t>ца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(2003-2010 годы): Федеральная целевая программа</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Асташов Ю. (2012). Золотой век российской нефтепереработки: итоги и перспективы // Вопросы экономики. </w:t>
      </w:r>
      <w:r>
        <w:rPr>
          <w:rFonts w:ascii="Times New Roman CYR" w:hAnsi="Times New Roman CYR" w:cs="Times New Roman CYR"/>
          <w:sz w:val="28"/>
          <w:szCs w:val="28"/>
          <w:lang w:val="en-US"/>
        </w:rPr>
        <w:t xml:space="preserve">№ 2. [Astashov Yu. (2012). The Golden Age in Russian Refining: Outcomes and Prospects // Voprosy Economiki. </w:t>
      </w:r>
      <w:r>
        <w:rPr>
          <w:rFonts w:ascii="Times New Roman CYR" w:hAnsi="Times New Roman CYR" w:cs="Times New Roman CYR"/>
          <w:sz w:val="28"/>
          <w:szCs w:val="28"/>
        </w:rPr>
        <w:t>No 2.]</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Бахрах Д.Н. Таможенное право как и</w:t>
      </w:r>
      <w:r>
        <w:rPr>
          <w:rFonts w:ascii="Times New Roman" w:hAnsi="Times New Roman" w:cs="Times New Roman"/>
          <w:sz w:val="28"/>
          <w:szCs w:val="28"/>
        </w:rPr>
        <w:t>þ</w:t>
      </w:r>
      <w:r>
        <w:rPr>
          <w:rFonts w:ascii="Times New Roman CYR" w:hAnsi="Times New Roman CYR" w:cs="Times New Roman CYR"/>
          <w:sz w:val="28"/>
          <w:szCs w:val="28"/>
        </w:rPr>
        <w:t>нсти</w:t>
      </w:r>
      <w:r>
        <w:rPr>
          <w:rFonts w:ascii="Times New Roman" w:hAnsi="Times New Roman" w:cs="Times New Roman"/>
          <w:sz w:val="28"/>
          <w:szCs w:val="28"/>
        </w:rPr>
        <w:t>þ</w:t>
      </w:r>
      <w:r>
        <w:rPr>
          <w:rFonts w:ascii="Times New Roman CYR" w:hAnsi="Times New Roman CYR" w:cs="Times New Roman CYR"/>
          <w:sz w:val="28"/>
          <w:szCs w:val="28"/>
        </w:rPr>
        <w:t>тут адми</w:t>
      </w:r>
      <w:r>
        <w:rPr>
          <w:rFonts w:ascii="Times New Roman" w:hAnsi="Times New Roman" w:cs="Times New Roman"/>
          <w:sz w:val="28"/>
          <w:szCs w:val="28"/>
        </w:rPr>
        <w:t>þ</w:t>
      </w:r>
      <w:r>
        <w:rPr>
          <w:rFonts w:ascii="Times New Roman CYR" w:hAnsi="Times New Roman CYR" w:cs="Times New Roman CYR"/>
          <w:sz w:val="28"/>
          <w:szCs w:val="28"/>
        </w:rPr>
        <w:t>ни</w:t>
      </w:r>
      <w:r>
        <w:rPr>
          <w:rFonts w:ascii="Times New Roman" w:hAnsi="Times New Roman" w:cs="Times New Roman"/>
          <w:sz w:val="28"/>
          <w:szCs w:val="28"/>
        </w:rPr>
        <w:t>þ</w:t>
      </w:r>
      <w:r>
        <w:rPr>
          <w:rFonts w:ascii="Times New Roman CYR" w:hAnsi="Times New Roman CYR" w:cs="Times New Roman CYR"/>
          <w:sz w:val="28"/>
          <w:szCs w:val="28"/>
        </w:rPr>
        <w:t>страти</w:t>
      </w:r>
      <w:r>
        <w:rPr>
          <w:rFonts w:ascii="Times New Roman" w:hAnsi="Times New Roman" w:cs="Times New Roman"/>
          <w:sz w:val="28"/>
          <w:szCs w:val="28"/>
        </w:rPr>
        <w:t>þ</w:t>
      </w:r>
      <w:r>
        <w:rPr>
          <w:rFonts w:ascii="Times New Roman CYR" w:hAnsi="Times New Roman CYR" w:cs="Times New Roman CYR"/>
          <w:sz w:val="28"/>
          <w:szCs w:val="28"/>
        </w:rPr>
        <w:t>вного права // Государство и</w:t>
      </w:r>
      <w:r>
        <w:rPr>
          <w:rFonts w:ascii="Times New Roman" w:hAnsi="Times New Roman" w:cs="Times New Roman"/>
          <w:sz w:val="28"/>
          <w:szCs w:val="28"/>
        </w:rPr>
        <w:t>þ</w:t>
      </w:r>
      <w:r>
        <w:rPr>
          <w:rFonts w:ascii="Times New Roman CYR" w:hAnsi="Times New Roman CYR" w:cs="Times New Roman CYR"/>
          <w:sz w:val="28"/>
          <w:szCs w:val="28"/>
        </w:rPr>
        <w:t xml:space="preserve"> право. 2009. № 3. С. 13.</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Бахрах Д. Н., Ки</w:t>
      </w:r>
      <w:r>
        <w:rPr>
          <w:rFonts w:ascii="Times New Roman" w:hAnsi="Times New Roman" w:cs="Times New Roman"/>
          <w:sz w:val="28"/>
          <w:szCs w:val="28"/>
        </w:rPr>
        <w:t>þ</w:t>
      </w:r>
      <w:r>
        <w:rPr>
          <w:rFonts w:ascii="Times New Roman CYR" w:hAnsi="Times New Roman CYR" w:cs="Times New Roman CYR"/>
          <w:sz w:val="28"/>
          <w:szCs w:val="28"/>
        </w:rPr>
        <w:t>валов С.В. Таможенное право Росси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Екатери</w:t>
      </w:r>
      <w:r>
        <w:rPr>
          <w:rFonts w:ascii="Times New Roman" w:hAnsi="Times New Roman" w:cs="Times New Roman"/>
          <w:sz w:val="28"/>
          <w:szCs w:val="28"/>
        </w:rPr>
        <w:t>þ</w:t>
      </w:r>
      <w:r>
        <w:rPr>
          <w:rFonts w:ascii="Times New Roman CYR" w:hAnsi="Times New Roman CYR" w:cs="Times New Roman CYR"/>
          <w:sz w:val="28"/>
          <w:szCs w:val="28"/>
        </w:rPr>
        <w:t>нбург, 2009.</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Берков Е.А., Галанжи</w:t>
      </w:r>
      <w:r>
        <w:rPr>
          <w:rFonts w:ascii="Times New Roman" w:hAnsi="Times New Roman" w:cs="Times New Roman"/>
          <w:sz w:val="28"/>
          <w:szCs w:val="28"/>
        </w:rPr>
        <w:t>þ</w:t>
      </w:r>
      <w:r>
        <w:rPr>
          <w:rFonts w:ascii="Times New Roman CYR" w:hAnsi="Times New Roman CYR" w:cs="Times New Roman CYR"/>
          <w:sz w:val="28"/>
          <w:szCs w:val="28"/>
        </w:rPr>
        <w:t>н Е.Ф. Учебное пособи</w:t>
      </w:r>
      <w:r>
        <w:rPr>
          <w:rFonts w:ascii="Times New Roman" w:hAnsi="Times New Roman" w:cs="Times New Roman"/>
          <w:sz w:val="28"/>
          <w:szCs w:val="28"/>
        </w:rPr>
        <w:t>þ</w:t>
      </w:r>
      <w:r>
        <w:rPr>
          <w:rFonts w:ascii="Times New Roman CYR" w:hAnsi="Times New Roman CYR" w:cs="Times New Roman CYR"/>
          <w:sz w:val="28"/>
          <w:szCs w:val="28"/>
        </w:rPr>
        <w:t>е в помощь слушателям, и</w:t>
      </w:r>
      <w:r>
        <w:rPr>
          <w:rFonts w:ascii="Times New Roman" w:hAnsi="Times New Roman" w:cs="Times New Roman"/>
          <w:sz w:val="28"/>
          <w:szCs w:val="28"/>
        </w:rPr>
        <w:t>þ</w:t>
      </w:r>
      <w:r>
        <w:rPr>
          <w:rFonts w:ascii="Times New Roman CYR" w:hAnsi="Times New Roman CYR" w:cs="Times New Roman CYR"/>
          <w:sz w:val="28"/>
          <w:szCs w:val="28"/>
        </w:rPr>
        <w:t>зучающи</w:t>
      </w:r>
      <w:r>
        <w:rPr>
          <w:rFonts w:ascii="Times New Roman" w:hAnsi="Times New Roman" w:cs="Times New Roman"/>
          <w:sz w:val="28"/>
          <w:szCs w:val="28"/>
        </w:rPr>
        <w:t>þ</w:t>
      </w:r>
      <w:r>
        <w:rPr>
          <w:rFonts w:ascii="Times New Roman CYR" w:hAnsi="Times New Roman CYR" w:cs="Times New Roman CYR"/>
          <w:sz w:val="28"/>
          <w:szCs w:val="28"/>
        </w:rPr>
        <w:t>м таможенное дело. М., 2010.</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Вардомски</w:t>
      </w:r>
      <w:r>
        <w:rPr>
          <w:rFonts w:ascii="Times New Roman" w:hAnsi="Times New Roman" w:cs="Times New Roman"/>
          <w:sz w:val="28"/>
          <w:szCs w:val="28"/>
        </w:rPr>
        <w:t>þ</w:t>
      </w:r>
      <w:r>
        <w:rPr>
          <w:rFonts w:ascii="Times New Roman CYR" w:hAnsi="Times New Roman CYR" w:cs="Times New Roman CYR"/>
          <w:sz w:val="28"/>
          <w:szCs w:val="28"/>
        </w:rPr>
        <w:t>й Л. Росси</w:t>
      </w:r>
      <w:r>
        <w:rPr>
          <w:rFonts w:ascii="Times New Roman" w:hAnsi="Times New Roman" w:cs="Times New Roman"/>
          <w:sz w:val="28"/>
          <w:szCs w:val="28"/>
        </w:rPr>
        <w:t>þ</w:t>
      </w:r>
      <w:r>
        <w:rPr>
          <w:rFonts w:ascii="Times New Roman CYR" w:hAnsi="Times New Roman CYR" w:cs="Times New Roman CYR"/>
          <w:sz w:val="28"/>
          <w:szCs w:val="28"/>
        </w:rPr>
        <w:t>я и</w:t>
      </w:r>
      <w:r>
        <w:rPr>
          <w:rFonts w:ascii="Times New Roman" w:hAnsi="Times New Roman" w:cs="Times New Roman"/>
          <w:sz w:val="28"/>
          <w:szCs w:val="28"/>
        </w:rPr>
        <w:t>þ</w:t>
      </w:r>
      <w:r>
        <w:rPr>
          <w:rFonts w:ascii="Times New Roman CYR" w:hAnsi="Times New Roman CYR" w:cs="Times New Roman CYR"/>
          <w:sz w:val="28"/>
          <w:szCs w:val="28"/>
        </w:rPr>
        <w:t xml:space="preserve"> ли</w:t>
      </w:r>
      <w:r>
        <w:rPr>
          <w:rFonts w:ascii="Times New Roman" w:hAnsi="Times New Roman" w:cs="Times New Roman"/>
          <w:sz w:val="28"/>
          <w:szCs w:val="28"/>
        </w:rPr>
        <w:t>þ</w:t>
      </w:r>
      <w:r>
        <w:rPr>
          <w:rFonts w:ascii="Times New Roman CYR" w:hAnsi="Times New Roman CYR" w:cs="Times New Roman CYR"/>
          <w:sz w:val="28"/>
          <w:szCs w:val="28"/>
        </w:rPr>
        <w:t>берали</w:t>
      </w:r>
      <w:r>
        <w:rPr>
          <w:rFonts w:ascii="Times New Roman" w:hAnsi="Times New Roman" w:cs="Times New Roman"/>
          <w:sz w:val="28"/>
          <w:szCs w:val="28"/>
        </w:rPr>
        <w:t>þ</w:t>
      </w:r>
      <w:r>
        <w:rPr>
          <w:rFonts w:ascii="Times New Roman CYR" w:hAnsi="Times New Roman CYR" w:cs="Times New Roman CYR"/>
          <w:sz w:val="28"/>
          <w:szCs w:val="28"/>
        </w:rPr>
        <w:t>зм международных экономи</w:t>
      </w:r>
      <w:r>
        <w:rPr>
          <w:rFonts w:ascii="Times New Roman" w:hAnsi="Times New Roman" w:cs="Times New Roman"/>
          <w:sz w:val="28"/>
          <w:szCs w:val="28"/>
        </w:rPr>
        <w:t>þ</w:t>
      </w:r>
      <w:r>
        <w:rPr>
          <w:rFonts w:ascii="Times New Roman CYR" w:hAnsi="Times New Roman CYR" w:cs="Times New Roman CYR"/>
          <w:sz w:val="28"/>
          <w:szCs w:val="28"/>
        </w:rPr>
        <w:t>чески</w:t>
      </w:r>
      <w:r>
        <w:rPr>
          <w:rFonts w:ascii="Times New Roman" w:hAnsi="Times New Roman" w:cs="Times New Roman"/>
          <w:sz w:val="28"/>
          <w:szCs w:val="28"/>
        </w:rPr>
        <w:t>þ</w:t>
      </w:r>
      <w:r>
        <w:rPr>
          <w:rFonts w:ascii="Times New Roman CYR" w:hAnsi="Times New Roman CYR" w:cs="Times New Roman CYR"/>
          <w:sz w:val="28"/>
          <w:szCs w:val="28"/>
        </w:rPr>
        <w:t>х отношени</w:t>
      </w:r>
      <w:r>
        <w:rPr>
          <w:rFonts w:ascii="Times New Roman" w:hAnsi="Times New Roman" w:cs="Times New Roman"/>
          <w:sz w:val="28"/>
          <w:szCs w:val="28"/>
        </w:rPr>
        <w:t>þ</w:t>
      </w:r>
      <w:r>
        <w:rPr>
          <w:rFonts w:ascii="Times New Roman CYR" w:hAnsi="Times New Roman CYR" w:cs="Times New Roman CYR"/>
          <w:sz w:val="28"/>
          <w:szCs w:val="28"/>
        </w:rPr>
        <w:t>й // Внешняя торговля. 2009. № 3.</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Васи</w:t>
      </w:r>
      <w:r>
        <w:rPr>
          <w:rFonts w:ascii="Times New Roman" w:hAnsi="Times New Roman" w:cs="Times New Roman"/>
          <w:sz w:val="28"/>
          <w:szCs w:val="28"/>
        </w:rPr>
        <w:t>þ</w:t>
      </w:r>
      <w:r>
        <w:rPr>
          <w:rFonts w:ascii="Times New Roman CYR" w:hAnsi="Times New Roman CYR" w:cs="Times New Roman CYR"/>
          <w:sz w:val="28"/>
          <w:szCs w:val="28"/>
        </w:rPr>
        <w:t>льев А.В. Право на ввоз и</w:t>
      </w:r>
      <w:r>
        <w:rPr>
          <w:rFonts w:ascii="Times New Roman" w:hAnsi="Times New Roman" w:cs="Times New Roman"/>
          <w:sz w:val="28"/>
          <w:szCs w:val="28"/>
        </w:rPr>
        <w:t>þ</w:t>
      </w:r>
      <w:r>
        <w:rPr>
          <w:rFonts w:ascii="Times New Roman CYR" w:hAnsi="Times New Roman CYR" w:cs="Times New Roman CYR"/>
          <w:sz w:val="28"/>
          <w:szCs w:val="28"/>
        </w:rPr>
        <w:t xml:space="preserve"> вывоз товаров // Таможенный вестни</w:t>
      </w:r>
      <w:r>
        <w:rPr>
          <w:rFonts w:ascii="Times New Roman" w:hAnsi="Times New Roman" w:cs="Times New Roman"/>
          <w:sz w:val="28"/>
          <w:szCs w:val="28"/>
        </w:rPr>
        <w:t>þ</w:t>
      </w:r>
      <w:r>
        <w:rPr>
          <w:rFonts w:ascii="Times New Roman CYR" w:hAnsi="Times New Roman CYR" w:cs="Times New Roman CYR"/>
          <w:sz w:val="28"/>
          <w:szCs w:val="28"/>
        </w:rPr>
        <w:t>к. 2009. № 11-12.</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Габри</w:t>
      </w:r>
      <w:r>
        <w:rPr>
          <w:rFonts w:ascii="Times New Roman" w:hAnsi="Times New Roman" w:cs="Times New Roman"/>
          <w:sz w:val="28"/>
          <w:szCs w:val="28"/>
        </w:rPr>
        <w:t>þ</w:t>
      </w:r>
      <w:r>
        <w:rPr>
          <w:rFonts w:ascii="Times New Roman CYR" w:hAnsi="Times New Roman CYR" w:cs="Times New Roman CYR"/>
          <w:sz w:val="28"/>
          <w:szCs w:val="28"/>
        </w:rPr>
        <w:t>чи</w:t>
      </w:r>
      <w:r>
        <w:rPr>
          <w:rFonts w:ascii="Times New Roman" w:hAnsi="Times New Roman" w:cs="Times New Roman"/>
          <w:sz w:val="28"/>
          <w:szCs w:val="28"/>
        </w:rPr>
        <w:t>þ</w:t>
      </w:r>
      <w:r>
        <w:rPr>
          <w:rFonts w:ascii="Times New Roman CYR" w:hAnsi="Times New Roman CYR" w:cs="Times New Roman CYR"/>
          <w:sz w:val="28"/>
          <w:szCs w:val="28"/>
        </w:rPr>
        <w:t>дзе Б.Н., Щахмаметьев А.А. Таможенно-тари</w:t>
      </w:r>
      <w:r>
        <w:rPr>
          <w:rFonts w:ascii="Times New Roman" w:hAnsi="Times New Roman" w:cs="Times New Roman"/>
          <w:sz w:val="28"/>
          <w:szCs w:val="28"/>
        </w:rPr>
        <w:t>þ</w:t>
      </w:r>
      <w:r>
        <w:rPr>
          <w:rFonts w:ascii="Times New Roman CYR" w:hAnsi="Times New Roman CYR" w:cs="Times New Roman CYR"/>
          <w:sz w:val="28"/>
          <w:szCs w:val="28"/>
        </w:rPr>
        <w:t>фное регули</w:t>
      </w:r>
      <w:r>
        <w:rPr>
          <w:rFonts w:ascii="Times New Roman" w:hAnsi="Times New Roman" w:cs="Times New Roman"/>
          <w:sz w:val="28"/>
          <w:szCs w:val="28"/>
        </w:rPr>
        <w:t>þ</w:t>
      </w:r>
      <w:r>
        <w:rPr>
          <w:rFonts w:ascii="Times New Roman CYR" w:hAnsi="Times New Roman CYR" w:cs="Times New Roman CYR"/>
          <w:sz w:val="28"/>
          <w:szCs w:val="28"/>
        </w:rPr>
        <w:t>ровани</w:t>
      </w:r>
      <w:r>
        <w:rPr>
          <w:rFonts w:ascii="Times New Roman" w:hAnsi="Times New Roman" w:cs="Times New Roman"/>
          <w:sz w:val="28"/>
          <w:szCs w:val="28"/>
        </w:rPr>
        <w:t>þ</w:t>
      </w:r>
      <w:r>
        <w:rPr>
          <w:rFonts w:ascii="Times New Roman CYR" w:hAnsi="Times New Roman CYR" w:cs="Times New Roman CYR"/>
          <w:sz w:val="28"/>
          <w:szCs w:val="28"/>
        </w:rPr>
        <w:t>е внешнеэкономи</w:t>
      </w:r>
      <w:r>
        <w:rPr>
          <w:rFonts w:ascii="Times New Roman" w:hAnsi="Times New Roman" w:cs="Times New Roman"/>
          <w:sz w:val="28"/>
          <w:szCs w:val="28"/>
        </w:rPr>
        <w:t>þ</w:t>
      </w:r>
      <w:r>
        <w:rPr>
          <w:rFonts w:ascii="Times New Roman CYR" w:hAnsi="Times New Roman CYR" w:cs="Times New Roman CYR"/>
          <w:sz w:val="28"/>
          <w:szCs w:val="28"/>
        </w:rPr>
        <w:t>ческой деятельности</w:t>
      </w:r>
      <w:r>
        <w:rPr>
          <w:rFonts w:ascii="Times New Roman" w:hAnsi="Times New Roman" w:cs="Times New Roman"/>
          <w:sz w:val="28"/>
          <w:szCs w:val="28"/>
        </w:rPr>
        <w:t>þ</w:t>
      </w:r>
      <w:r>
        <w:rPr>
          <w:rFonts w:ascii="Times New Roman CYR" w:hAnsi="Times New Roman CYR" w:cs="Times New Roman CYR"/>
          <w:sz w:val="28"/>
          <w:szCs w:val="28"/>
        </w:rPr>
        <w:t xml:space="preserve"> в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(правовые аспекты) // Государство и</w:t>
      </w:r>
      <w:r>
        <w:rPr>
          <w:rFonts w:ascii="Times New Roman" w:hAnsi="Times New Roman" w:cs="Times New Roman"/>
          <w:sz w:val="28"/>
          <w:szCs w:val="28"/>
        </w:rPr>
        <w:t>þ</w:t>
      </w:r>
      <w:r>
        <w:rPr>
          <w:rFonts w:ascii="Times New Roman CYR" w:hAnsi="Times New Roman CYR" w:cs="Times New Roman CYR"/>
          <w:sz w:val="28"/>
          <w:szCs w:val="28"/>
        </w:rPr>
        <w:t xml:space="preserve"> право. 2010. № 1. С.45-46.</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Габри</w:t>
      </w:r>
      <w:r>
        <w:rPr>
          <w:rFonts w:ascii="Times New Roman" w:hAnsi="Times New Roman" w:cs="Times New Roman"/>
          <w:sz w:val="28"/>
          <w:szCs w:val="28"/>
        </w:rPr>
        <w:t>þ</w:t>
      </w:r>
      <w:r>
        <w:rPr>
          <w:rFonts w:ascii="Times New Roman CYR" w:hAnsi="Times New Roman CYR" w:cs="Times New Roman CYR"/>
          <w:sz w:val="28"/>
          <w:szCs w:val="28"/>
        </w:rPr>
        <w:t>чи</w:t>
      </w:r>
      <w:r>
        <w:rPr>
          <w:rFonts w:ascii="Times New Roman" w:hAnsi="Times New Roman" w:cs="Times New Roman"/>
          <w:sz w:val="28"/>
          <w:szCs w:val="28"/>
        </w:rPr>
        <w:t>þ</w:t>
      </w:r>
      <w:r>
        <w:rPr>
          <w:rFonts w:ascii="Times New Roman CYR" w:hAnsi="Times New Roman CYR" w:cs="Times New Roman CYR"/>
          <w:sz w:val="28"/>
          <w:szCs w:val="28"/>
        </w:rPr>
        <w:t>дзе Б.Н., Зобов В.Е. Таможенная служба в Росси</w:t>
      </w:r>
      <w:r>
        <w:rPr>
          <w:rFonts w:ascii="Times New Roman" w:hAnsi="Times New Roman" w:cs="Times New Roman"/>
          <w:sz w:val="28"/>
          <w:szCs w:val="28"/>
        </w:rPr>
        <w:t>þ</w:t>
      </w:r>
      <w:r>
        <w:rPr>
          <w:rFonts w:ascii="Times New Roman CYR" w:hAnsi="Times New Roman CYR" w:cs="Times New Roman CYR"/>
          <w:sz w:val="28"/>
          <w:szCs w:val="28"/>
        </w:rPr>
        <w:t>йской Федераци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2009.</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Габри</w:t>
      </w:r>
      <w:r>
        <w:rPr>
          <w:rFonts w:ascii="Times New Roman" w:hAnsi="Times New Roman" w:cs="Times New Roman"/>
          <w:sz w:val="28"/>
          <w:szCs w:val="28"/>
        </w:rPr>
        <w:t>þ</w:t>
      </w:r>
      <w:r>
        <w:rPr>
          <w:rFonts w:ascii="Times New Roman CYR" w:hAnsi="Times New Roman CYR" w:cs="Times New Roman CYR"/>
          <w:sz w:val="28"/>
          <w:szCs w:val="28"/>
        </w:rPr>
        <w:t>чи</w:t>
      </w:r>
      <w:r>
        <w:rPr>
          <w:rFonts w:ascii="Times New Roman" w:hAnsi="Times New Roman" w:cs="Times New Roman"/>
          <w:sz w:val="28"/>
          <w:szCs w:val="28"/>
        </w:rPr>
        <w:t>þ</w:t>
      </w:r>
      <w:r>
        <w:rPr>
          <w:rFonts w:ascii="Times New Roman CYR" w:hAnsi="Times New Roman CYR" w:cs="Times New Roman CYR"/>
          <w:sz w:val="28"/>
          <w:szCs w:val="28"/>
        </w:rPr>
        <w:t>дзе Б.Н., Козлов Е.Ю. Таможенная си</w:t>
      </w:r>
      <w:r>
        <w:rPr>
          <w:rFonts w:ascii="Times New Roman" w:hAnsi="Times New Roman" w:cs="Times New Roman"/>
          <w:sz w:val="28"/>
          <w:szCs w:val="28"/>
        </w:rPr>
        <w:t>þ</w:t>
      </w:r>
      <w:r>
        <w:rPr>
          <w:rFonts w:ascii="Times New Roman CYR" w:hAnsi="Times New Roman CYR" w:cs="Times New Roman CYR"/>
          <w:sz w:val="28"/>
          <w:szCs w:val="28"/>
        </w:rPr>
        <w:t>стема Росси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между прошлым и</w:t>
      </w:r>
      <w:r>
        <w:rPr>
          <w:rFonts w:ascii="Times New Roman" w:hAnsi="Times New Roman" w:cs="Times New Roman"/>
          <w:sz w:val="28"/>
          <w:szCs w:val="28"/>
        </w:rPr>
        <w:t>þ</w:t>
      </w:r>
      <w:r>
        <w:rPr>
          <w:rFonts w:ascii="Times New Roman CYR" w:hAnsi="Times New Roman CYR" w:cs="Times New Roman CYR"/>
          <w:sz w:val="28"/>
          <w:szCs w:val="28"/>
        </w:rPr>
        <w:t xml:space="preserve"> будущи</w:t>
      </w:r>
      <w:r>
        <w:rPr>
          <w:rFonts w:ascii="Times New Roman" w:hAnsi="Times New Roman" w:cs="Times New Roman"/>
          <w:sz w:val="28"/>
          <w:szCs w:val="28"/>
        </w:rPr>
        <w:t>þ</w:t>
      </w:r>
      <w:r>
        <w:rPr>
          <w:rFonts w:ascii="Times New Roman CYR" w:hAnsi="Times New Roman CYR" w:cs="Times New Roman CYR"/>
          <w:sz w:val="28"/>
          <w:szCs w:val="28"/>
        </w:rPr>
        <w:t>м. Народный депутат. 2010. № 11.</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Дюмулен 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Вопросы таможенно-тари</w:t>
      </w:r>
      <w:r>
        <w:rPr>
          <w:rFonts w:ascii="Times New Roman" w:hAnsi="Times New Roman" w:cs="Times New Roman"/>
          <w:sz w:val="28"/>
          <w:szCs w:val="28"/>
        </w:rPr>
        <w:t>þ</w:t>
      </w:r>
      <w:r>
        <w:rPr>
          <w:rFonts w:ascii="Times New Roman CYR" w:hAnsi="Times New Roman CYR" w:cs="Times New Roman CYR"/>
          <w:sz w:val="28"/>
          <w:szCs w:val="28"/>
        </w:rPr>
        <w:t>фного регули</w:t>
      </w:r>
      <w:r>
        <w:rPr>
          <w:rFonts w:ascii="Times New Roman" w:hAnsi="Times New Roman" w:cs="Times New Roman"/>
          <w:sz w:val="28"/>
          <w:szCs w:val="28"/>
        </w:rPr>
        <w:t>þ</w:t>
      </w:r>
      <w:r>
        <w:rPr>
          <w:rFonts w:ascii="Times New Roman CYR" w:hAnsi="Times New Roman CYR" w:cs="Times New Roman CYR"/>
          <w:sz w:val="28"/>
          <w:szCs w:val="28"/>
        </w:rPr>
        <w:t>ровани</w:t>
      </w:r>
      <w:r>
        <w:rPr>
          <w:rFonts w:ascii="Times New Roman" w:hAnsi="Times New Roman" w:cs="Times New Roman"/>
          <w:sz w:val="28"/>
          <w:szCs w:val="28"/>
        </w:rPr>
        <w:t>þ</w:t>
      </w:r>
      <w:r>
        <w:rPr>
          <w:rFonts w:ascii="Times New Roman CYR" w:hAnsi="Times New Roman CYR" w:cs="Times New Roman CYR"/>
          <w:sz w:val="28"/>
          <w:szCs w:val="28"/>
        </w:rPr>
        <w:t xml:space="preserve">я: </w:t>
      </w:r>
      <w:r>
        <w:rPr>
          <w:rFonts w:ascii="Times New Roman CYR" w:hAnsi="Times New Roman CYR" w:cs="Times New Roman CYR"/>
          <w:sz w:val="28"/>
          <w:szCs w:val="28"/>
        </w:rPr>
        <w:lastRenderedPageBreak/>
        <w:t>Матери</w:t>
      </w:r>
      <w:r>
        <w:rPr>
          <w:rFonts w:ascii="Times New Roman" w:hAnsi="Times New Roman" w:cs="Times New Roman"/>
          <w:sz w:val="28"/>
          <w:szCs w:val="28"/>
        </w:rPr>
        <w:t>þ</w:t>
      </w:r>
      <w:r>
        <w:rPr>
          <w:rFonts w:ascii="Times New Roman CYR" w:hAnsi="Times New Roman CYR" w:cs="Times New Roman CYR"/>
          <w:sz w:val="28"/>
          <w:szCs w:val="28"/>
        </w:rPr>
        <w:t>алы лекци</w:t>
      </w:r>
      <w:r>
        <w:rPr>
          <w:rFonts w:ascii="Times New Roman" w:hAnsi="Times New Roman" w:cs="Times New Roman"/>
          <w:sz w:val="28"/>
          <w:szCs w:val="28"/>
        </w:rPr>
        <w:t>þ</w:t>
      </w:r>
      <w:r>
        <w:rPr>
          <w:rFonts w:ascii="Times New Roman CYR" w:hAnsi="Times New Roman CYR" w:cs="Times New Roman CYR"/>
          <w:sz w:val="28"/>
          <w:szCs w:val="28"/>
        </w:rPr>
        <w:t>й. Вып. 1-2. М., 2009.</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Дякин Б.Г. Государственное регулирование внешнеэкономических связей в РФ: Учебное пособие. М., 2010.</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Зверев О.Е., Храбсков В.Г. О таможенном кодексе РФ // Московски</w:t>
      </w:r>
      <w:r>
        <w:rPr>
          <w:rFonts w:ascii="Times New Roman" w:hAnsi="Times New Roman" w:cs="Times New Roman"/>
          <w:sz w:val="28"/>
          <w:szCs w:val="28"/>
        </w:rPr>
        <w:t>þ</w:t>
      </w:r>
      <w:r>
        <w:rPr>
          <w:rFonts w:ascii="Times New Roman CYR" w:hAnsi="Times New Roman CYR" w:cs="Times New Roman CYR"/>
          <w:sz w:val="28"/>
          <w:szCs w:val="28"/>
        </w:rPr>
        <w:t>й журнал международного права. 2009. № 1.</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Козыри</w:t>
      </w:r>
      <w:r>
        <w:rPr>
          <w:rFonts w:ascii="Times New Roman" w:hAnsi="Times New Roman" w:cs="Times New Roman"/>
          <w:sz w:val="28"/>
          <w:szCs w:val="28"/>
        </w:rPr>
        <w:t>þ</w:t>
      </w:r>
      <w:r>
        <w:rPr>
          <w:rFonts w:ascii="Times New Roman CYR" w:hAnsi="Times New Roman CYR" w:cs="Times New Roman CYR"/>
          <w:sz w:val="28"/>
          <w:szCs w:val="28"/>
        </w:rPr>
        <w:t>н А.Н. Таможенное право Росси</w:t>
      </w:r>
      <w:r>
        <w:rPr>
          <w:rFonts w:ascii="Times New Roman" w:hAnsi="Times New Roman" w:cs="Times New Roman"/>
          <w:sz w:val="28"/>
          <w:szCs w:val="28"/>
        </w:rPr>
        <w:t>þ</w:t>
      </w:r>
      <w:r>
        <w:rPr>
          <w:rFonts w:ascii="Times New Roman CYR" w:hAnsi="Times New Roman CYR" w:cs="Times New Roman CYR"/>
          <w:sz w:val="28"/>
          <w:szCs w:val="28"/>
        </w:rPr>
        <w:t>и</w:t>
      </w:r>
      <w:r>
        <w:rPr>
          <w:rFonts w:ascii="Times New Roman" w:hAnsi="Times New Roman" w:cs="Times New Roman"/>
          <w:sz w:val="28"/>
          <w:szCs w:val="28"/>
        </w:rPr>
        <w:t>þ.</w:t>
      </w:r>
      <w:r>
        <w:rPr>
          <w:rFonts w:ascii="Times New Roman CYR" w:hAnsi="Times New Roman CYR" w:cs="Times New Roman CYR"/>
          <w:sz w:val="28"/>
          <w:szCs w:val="28"/>
        </w:rPr>
        <w:t xml:space="preserve"> Общая часть: Учебное пособи</w:t>
      </w:r>
      <w:r>
        <w:rPr>
          <w:rFonts w:ascii="Times New Roman" w:hAnsi="Times New Roman" w:cs="Times New Roman"/>
          <w:sz w:val="28"/>
          <w:szCs w:val="28"/>
        </w:rPr>
        <w:t>þ</w:t>
      </w:r>
      <w:r>
        <w:rPr>
          <w:rFonts w:ascii="Times New Roman CYR" w:hAnsi="Times New Roman CYR" w:cs="Times New Roman CYR"/>
          <w:sz w:val="28"/>
          <w:szCs w:val="28"/>
        </w:rPr>
        <w:t xml:space="preserve">е. М., 2009. </w:t>
      </w:r>
    </w:p>
    <w:p w:rsidR="00F66867" w:rsidRDefault="00823FF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Мещерин A. (2010). Нефтепереработка: так жить нельзя // Нефтегазовая вертикаль. </w:t>
      </w:r>
      <w:r w:rsidRPr="003814D1">
        <w:rPr>
          <w:rFonts w:ascii="Times New Roman CYR" w:hAnsi="Times New Roman CYR" w:cs="Times New Roman CYR"/>
          <w:sz w:val="28"/>
          <w:szCs w:val="28"/>
          <w:lang w:val="en-US"/>
        </w:rPr>
        <w:t>№ 5. [</w:t>
      </w:r>
      <w:r>
        <w:rPr>
          <w:rFonts w:ascii="Times New Roman CYR" w:hAnsi="Times New Roman CYR" w:cs="Times New Roman CYR"/>
          <w:sz w:val="28"/>
          <w:szCs w:val="28"/>
          <w:lang w:val="en-US"/>
        </w:rPr>
        <w:t>Meshcherin</w:t>
      </w:r>
      <w:r w:rsidRPr="003814D1">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А</w:t>
      </w:r>
      <w:r w:rsidRPr="003814D1">
        <w:rPr>
          <w:rFonts w:ascii="Times New Roman CYR" w:hAnsi="Times New Roman CYR" w:cs="Times New Roman CYR"/>
          <w:sz w:val="28"/>
          <w:szCs w:val="28"/>
          <w:lang w:val="en-US"/>
        </w:rPr>
        <w:t xml:space="preserve">. (2010). </w:t>
      </w:r>
      <w:r>
        <w:rPr>
          <w:rFonts w:ascii="Times New Roman CYR" w:hAnsi="Times New Roman CYR" w:cs="Times New Roman CYR"/>
          <w:sz w:val="28"/>
          <w:szCs w:val="28"/>
          <w:lang w:val="en-US"/>
        </w:rPr>
        <w:t xml:space="preserve">Russian Refining: This Is No Way to Live // Neftegazovaya Vertical. </w:t>
      </w:r>
      <w:r>
        <w:rPr>
          <w:rFonts w:ascii="Times New Roman CYR" w:hAnsi="Times New Roman CYR" w:cs="Times New Roman CYR"/>
          <w:sz w:val="28"/>
          <w:szCs w:val="28"/>
        </w:rPr>
        <w:t>No 5.]</w:t>
      </w:r>
    </w:p>
    <w:p w:rsidR="00517CA8" w:rsidRDefault="00823FFD" w:rsidP="00517CA8">
      <w:pPr>
        <w:jc w:val="center"/>
      </w:pPr>
      <w:r>
        <w:rPr>
          <w:rFonts w:ascii="Times New Roman CYR" w:hAnsi="Times New Roman CYR" w:cs="Times New Roman CYR"/>
          <w:sz w:val="28"/>
          <w:szCs w:val="28"/>
        </w:rPr>
        <w:t xml:space="preserve">Рудерман Я. (2012). Налогообложение в нефтепереработке: сумбур вместо музыки // ЭКО. </w:t>
      </w:r>
      <w:r>
        <w:rPr>
          <w:rFonts w:ascii="Times New Roman CYR" w:hAnsi="Times New Roman CYR" w:cs="Times New Roman CYR"/>
          <w:sz w:val="28"/>
          <w:szCs w:val="28"/>
          <w:lang w:val="en-US"/>
        </w:rPr>
        <w:t xml:space="preserve">№ 8. [Ruderman Ya. (2012). Taxing in Refining: Confusion instead of Music // ECO. </w:t>
      </w:r>
      <w:r w:rsidRPr="003814D1">
        <w:rPr>
          <w:rFonts w:ascii="Times New Roman CYR" w:hAnsi="Times New Roman CYR" w:cs="Times New Roman CYR"/>
          <w:sz w:val="28"/>
          <w:szCs w:val="28"/>
          <w:lang w:val="en-US"/>
        </w:rPr>
        <w:t>No 8.]</w:t>
      </w:r>
      <w:r w:rsidR="00517CA8" w:rsidRPr="00517CA8">
        <w:t xml:space="preserve"> </w:t>
      </w:r>
    </w:p>
    <w:tbl>
      <w:tblPr>
        <w:tblStyle w:val="aa"/>
        <w:tblW w:w="0" w:type="auto"/>
        <w:tblInd w:w="0" w:type="dxa"/>
        <w:tblLook w:val="04A0" w:firstRow="1" w:lastRow="0" w:firstColumn="1" w:lastColumn="0" w:noHBand="0" w:noVBand="1"/>
      </w:tblPr>
      <w:tblGrid>
        <w:gridCol w:w="3227"/>
        <w:gridCol w:w="6678"/>
      </w:tblGrid>
      <w:tr w:rsidR="00517CA8" w:rsidTr="00517CA8">
        <w:tc>
          <w:tcPr>
            <w:tcW w:w="3227" w:type="dxa"/>
            <w:tcBorders>
              <w:top w:val="single" w:sz="4" w:space="0" w:color="auto"/>
              <w:left w:val="single" w:sz="4" w:space="0" w:color="auto"/>
              <w:bottom w:val="single" w:sz="4" w:space="0" w:color="auto"/>
              <w:right w:val="single" w:sz="4" w:space="0" w:color="auto"/>
            </w:tcBorders>
          </w:tcPr>
          <w:p w:rsidR="00517CA8" w:rsidRDefault="00517CA8">
            <w:pPr>
              <w:spacing w:line="480" w:lineRule="auto"/>
              <w:jc w:val="center"/>
            </w:pPr>
          </w:p>
          <w:p w:rsidR="00517CA8" w:rsidRDefault="00517CA8">
            <w:pPr>
              <w:spacing w:line="480" w:lineRule="auto"/>
              <w:jc w:val="center"/>
              <w:rPr>
                <w:lang w:val="en-US"/>
              </w:rPr>
            </w:pPr>
            <w:hyperlink r:id="rId24"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17CA8" w:rsidRDefault="00517CA8">
            <w:pPr>
              <w:spacing w:line="480" w:lineRule="auto"/>
              <w:jc w:val="center"/>
              <w:rPr>
                <w:lang w:val="en-US"/>
              </w:rPr>
            </w:pPr>
            <w:r>
              <w:rPr>
                <w:noProof/>
              </w:rPr>
              <w:drawing>
                <wp:inline distT="0" distB="0" distL="0" distR="0">
                  <wp:extent cx="3784600" cy="12573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17CA8" w:rsidRDefault="00517CA8" w:rsidP="00517CA8">
      <w:pPr>
        <w:spacing w:line="480" w:lineRule="auto"/>
        <w:jc w:val="center"/>
        <w:rPr>
          <w:rFonts w:ascii="Arial Black" w:hAnsi="Arial Black"/>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517CA8" w:rsidTr="00517CA8">
        <w:tc>
          <w:tcPr>
            <w:tcW w:w="4952" w:type="dxa"/>
            <w:tcBorders>
              <w:top w:val="single" w:sz="4" w:space="0" w:color="auto"/>
              <w:left w:val="single" w:sz="4" w:space="0" w:color="auto"/>
              <w:bottom w:val="single" w:sz="4" w:space="0" w:color="auto"/>
              <w:right w:val="single" w:sz="4" w:space="0" w:color="auto"/>
            </w:tcBorders>
          </w:tcPr>
          <w:p w:rsidR="00517CA8" w:rsidRDefault="00517CA8">
            <w:pPr>
              <w:spacing w:line="480" w:lineRule="auto"/>
              <w:jc w:val="center"/>
            </w:pPr>
          </w:p>
          <w:p w:rsidR="00517CA8" w:rsidRDefault="00517CA8">
            <w:pPr>
              <w:spacing w:line="480" w:lineRule="auto"/>
              <w:jc w:val="center"/>
            </w:pPr>
            <w:hyperlink r:id="rId26"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17CA8" w:rsidRDefault="00517CA8">
            <w:pPr>
              <w:spacing w:line="480" w:lineRule="auto"/>
              <w:jc w:val="center"/>
            </w:pPr>
            <w:r>
              <w:rPr>
                <w:noProof/>
              </w:rPr>
              <w:drawing>
                <wp:inline distT="0" distB="0" distL="0" distR="0">
                  <wp:extent cx="2184400" cy="19621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17CA8" w:rsidRDefault="00517CA8" w:rsidP="00517CA8">
      <w:pPr>
        <w:spacing w:line="480" w:lineRule="auto"/>
        <w:jc w:val="center"/>
        <w:rPr>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517CA8" w:rsidTr="00517CA8">
        <w:trPr>
          <w:jc w:val="center"/>
        </w:trPr>
        <w:tc>
          <w:tcPr>
            <w:tcW w:w="3594" w:type="dxa"/>
            <w:tcBorders>
              <w:top w:val="single" w:sz="4" w:space="0" w:color="auto"/>
              <w:left w:val="single" w:sz="4" w:space="0" w:color="auto"/>
              <w:bottom w:val="single" w:sz="4" w:space="0" w:color="auto"/>
              <w:right w:val="single" w:sz="4" w:space="0" w:color="auto"/>
            </w:tcBorders>
          </w:tcPr>
          <w:p w:rsidR="00517CA8" w:rsidRDefault="00517CA8">
            <w:pPr>
              <w:spacing w:line="480" w:lineRule="auto"/>
              <w:jc w:val="center"/>
            </w:pPr>
          </w:p>
          <w:p w:rsidR="00517CA8" w:rsidRDefault="00517CA8">
            <w:pPr>
              <w:spacing w:line="480" w:lineRule="auto"/>
              <w:jc w:val="center"/>
              <w:rPr>
                <w:rFonts w:ascii="Arial Black" w:hAnsi="Arial Black" w:cs="Arial"/>
                <w:b/>
                <w:sz w:val="28"/>
                <w:szCs w:val="28"/>
              </w:rPr>
            </w:pPr>
            <w:hyperlink r:id="rId28"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17CA8" w:rsidRDefault="00517CA8">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17CA8" w:rsidRDefault="00517CA8" w:rsidP="00517CA8">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517CA8" w:rsidTr="00517CA8">
        <w:tc>
          <w:tcPr>
            <w:tcW w:w="3652" w:type="dxa"/>
            <w:tcBorders>
              <w:top w:val="single" w:sz="4" w:space="0" w:color="auto"/>
              <w:left w:val="single" w:sz="4" w:space="0" w:color="auto"/>
              <w:bottom w:val="single" w:sz="4" w:space="0" w:color="auto"/>
              <w:right w:val="single" w:sz="4" w:space="0" w:color="auto"/>
            </w:tcBorders>
          </w:tcPr>
          <w:p w:rsidR="00517CA8" w:rsidRDefault="00517CA8">
            <w:pPr>
              <w:spacing w:line="480" w:lineRule="auto"/>
              <w:jc w:val="center"/>
            </w:pPr>
          </w:p>
          <w:p w:rsidR="00517CA8" w:rsidRDefault="00517CA8">
            <w:pPr>
              <w:spacing w:line="480" w:lineRule="auto"/>
              <w:jc w:val="center"/>
              <w:rPr>
                <w:lang w:val="en-US"/>
              </w:rPr>
            </w:pPr>
            <w:hyperlink r:id="rId30" w:history="1">
              <w:r>
                <w:rPr>
                  <w:rStyle w:val="a9"/>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17CA8" w:rsidRDefault="00517CA8">
            <w:pPr>
              <w:spacing w:line="480" w:lineRule="auto"/>
              <w:jc w:val="center"/>
              <w:rPr>
                <w:lang w:val="en-US"/>
              </w:rPr>
            </w:pPr>
            <w:r>
              <w:rPr>
                <w:noProof/>
              </w:rPr>
              <w:drawing>
                <wp:inline distT="0" distB="0" distL="0" distR="0">
                  <wp:extent cx="3752850" cy="18415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17CA8" w:rsidRDefault="00517CA8" w:rsidP="00517CA8">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517CA8" w:rsidTr="00517CA8">
        <w:tc>
          <w:tcPr>
            <w:tcW w:w="3936" w:type="dxa"/>
            <w:tcBorders>
              <w:top w:val="single" w:sz="4" w:space="0" w:color="auto"/>
              <w:left w:val="single" w:sz="4" w:space="0" w:color="auto"/>
              <w:bottom w:val="single" w:sz="4" w:space="0" w:color="auto"/>
              <w:right w:val="single" w:sz="4" w:space="0" w:color="auto"/>
            </w:tcBorders>
          </w:tcPr>
          <w:p w:rsidR="00517CA8" w:rsidRDefault="00517CA8">
            <w:pPr>
              <w:jc w:val="center"/>
              <w:rPr>
                <w:rFonts w:ascii="Times New Roman CYR" w:eastAsia="Calibri" w:hAnsi="Times New Roman CYR" w:cs="Times New Roman CYR"/>
                <w:sz w:val="24"/>
                <w:szCs w:val="24"/>
              </w:rPr>
            </w:pPr>
          </w:p>
          <w:p w:rsidR="00517CA8" w:rsidRDefault="00517CA8">
            <w:pPr>
              <w:jc w:val="center"/>
              <w:rPr>
                <w:rFonts w:ascii="Calibri" w:eastAsia="Calibri" w:hAnsi="Calibri" w:cs="Times New Roman"/>
              </w:rPr>
            </w:pPr>
            <w:hyperlink r:id="rId32" w:history="1">
              <w:r>
                <w:rPr>
                  <w:rStyle w:val="a9"/>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17CA8" w:rsidRDefault="00517CA8">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17CA8" w:rsidRDefault="00517CA8" w:rsidP="00517CA8">
      <w:pPr>
        <w:rPr>
          <w:sz w:val="16"/>
          <w:szCs w:val="16"/>
          <w:lang w:eastAsia="en-US"/>
        </w:rPr>
      </w:pPr>
    </w:p>
    <w:p w:rsidR="00823FFD" w:rsidRPr="003814D1" w:rsidRDefault="00823FFD">
      <w:pPr>
        <w:widowControl w:val="0"/>
        <w:autoSpaceDE w:val="0"/>
        <w:autoSpaceDN w:val="0"/>
        <w:adjustRightInd w:val="0"/>
        <w:spacing w:after="0" w:line="360" w:lineRule="auto"/>
        <w:jc w:val="both"/>
        <w:rPr>
          <w:rFonts w:ascii="Times New Roman CYR" w:hAnsi="Times New Roman CYR" w:cs="Times New Roman CYR"/>
          <w:sz w:val="28"/>
          <w:szCs w:val="28"/>
          <w:lang w:val="en-US"/>
        </w:rPr>
      </w:pPr>
      <w:bookmarkStart w:id="0" w:name="_GoBack"/>
      <w:bookmarkEnd w:id="0"/>
    </w:p>
    <w:sectPr w:rsidR="00823FFD" w:rsidRPr="003814D1">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1CC" w:rsidRDefault="00FA71CC" w:rsidP="002F68FD">
      <w:pPr>
        <w:spacing w:after="0" w:line="240" w:lineRule="auto"/>
      </w:pPr>
      <w:r>
        <w:separator/>
      </w:r>
    </w:p>
  </w:endnote>
  <w:endnote w:type="continuationSeparator" w:id="0">
    <w:p w:rsidR="00FA71CC" w:rsidRDefault="00FA71CC" w:rsidP="002F6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FD" w:rsidRDefault="002F68F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FD" w:rsidRPr="002F68FD" w:rsidRDefault="002F68FD" w:rsidP="002F68F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2F68FD">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2F68FD" w:rsidRDefault="00FA71CC" w:rsidP="002F68FD">
    <w:pPr>
      <w:pStyle w:val="a7"/>
    </w:pPr>
    <w:hyperlink r:id="rId1" w:history="1">
      <w:r w:rsidR="002F68FD" w:rsidRPr="002F68FD">
        <w:rPr>
          <w:rFonts w:ascii="Times New Roman CYR" w:eastAsia="Times New Roman" w:hAnsi="Times New Roman CYR" w:cs="Times New Roman CYR"/>
          <w:b/>
          <w:color w:val="0000FF"/>
          <w:sz w:val="28"/>
          <w:szCs w:val="28"/>
          <w:u w:val="single"/>
          <w:lang w:val="en-US"/>
        </w:rPr>
        <w:t>http</w:t>
      </w:r>
      <w:r w:rsidR="002F68FD" w:rsidRPr="002F68FD">
        <w:rPr>
          <w:rFonts w:ascii="Times New Roman CYR" w:eastAsia="Times New Roman" w:hAnsi="Times New Roman CYR" w:cs="Times New Roman CYR"/>
          <w:b/>
          <w:color w:val="0000FF"/>
          <w:sz w:val="28"/>
          <w:szCs w:val="28"/>
          <w:u w:val="single"/>
        </w:rPr>
        <w:t>://учебники.информ2000.рф/</w:t>
      </w:r>
      <w:r w:rsidR="002F68FD" w:rsidRPr="002F68FD">
        <w:rPr>
          <w:rFonts w:ascii="Times New Roman CYR" w:eastAsia="Times New Roman" w:hAnsi="Times New Roman CYR" w:cs="Times New Roman CYR"/>
          <w:b/>
          <w:color w:val="0000FF"/>
          <w:sz w:val="28"/>
          <w:szCs w:val="28"/>
          <w:u w:val="single"/>
          <w:lang w:val="en-US"/>
        </w:rPr>
        <w:t>diplom</w:t>
      </w:r>
      <w:r w:rsidR="002F68FD" w:rsidRPr="002F68FD">
        <w:rPr>
          <w:rFonts w:ascii="Times New Roman CYR" w:eastAsia="Times New Roman" w:hAnsi="Times New Roman CYR" w:cs="Times New Roman CYR"/>
          <w:b/>
          <w:color w:val="0000FF"/>
          <w:sz w:val="28"/>
          <w:szCs w:val="28"/>
          <w:u w:val="single"/>
        </w:rPr>
        <w:t>.</w:t>
      </w:r>
      <w:r w:rsidR="002F68FD" w:rsidRPr="002F68FD">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FD" w:rsidRDefault="002F68F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1CC" w:rsidRDefault="00FA71CC" w:rsidP="002F68FD">
      <w:pPr>
        <w:spacing w:after="0" w:line="240" w:lineRule="auto"/>
      </w:pPr>
      <w:r>
        <w:separator/>
      </w:r>
    </w:p>
  </w:footnote>
  <w:footnote w:type="continuationSeparator" w:id="0">
    <w:p w:rsidR="00FA71CC" w:rsidRDefault="00FA71CC" w:rsidP="002F68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FD" w:rsidRDefault="002F68F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85" w:rsidRPr="00824385" w:rsidRDefault="00824385" w:rsidP="00824385">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824385">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824385" w:rsidRPr="00824385" w:rsidRDefault="00824385" w:rsidP="00824385">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824385">
      <w:rPr>
        <w:rFonts w:ascii="Times New Roman" w:eastAsia="Calibri" w:hAnsi="Times New Roman" w:cs="Times New Roman"/>
        <w:sz w:val="28"/>
        <w:lang w:eastAsia="en-US"/>
      </w:rPr>
      <w:t>http://учебники.информ2000.рф/napisat-diplom.shtml</w:t>
    </w:r>
  </w:p>
  <w:p w:rsidR="002F68FD" w:rsidRDefault="002F68F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FD" w:rsidRDefault="002F68F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04D"/>
    <w:rsid w:val="0016404D"/>
    <w:rsid w:val="002F68FD"/>
    <w:rsid w:val="003814D1"/>
    <w:rsid w:val="00420394"/>
    <w:rsid w:val="00517CA8"/>
    <w:rsid w:val="005620C2"/>
    <w:rsid w:val="005E54B0"/>
    <w:rsid w:val="00823FFD"/>
    <w:rsid w:val="00824385"/>
    <w:rsid w:val="00F66867"/>
    <w:rsid w:val="00FA7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4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4D1"/>
    <w:rPr>
      <w:rFonts w:ascii="Tahoma" w:hAnsi="Tahoma" w:cs="Tahoma"/>
      <w:sz w:val="16"/>
      <w:szCs w:val="16"/>
    </w:rPr>
  </w:style>
  <w:style w:type="paragraph" w:styleId="a5">
    <w:name w:val="header"/>
    <w:basedOn w:val="a"/>
    <w:link w:val="a6"/>
    <w:uiPriority w:val="99"/>
    <w:unhideWhenUsed/>
    <w:rsid w:val="002F68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68FD"/>
  </w:style>
  <w:style w:type="paragraph" w:styleId="a7">
    <w:name w:val="footer"/>
    <w:basedOn w:val="a"/>
    <w:link w:val="a8"/>
    <w:uiPriority w:val="99"/>
    <w:unhideWhenUsed/>
    <w:rsid w:val="002F68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68FD"/>
  </w:style>
  <w:style w:type="character" w:styleId="a9">
    <w:name w:val="Hyperlink"/>
    <w:basedOn w:val="a0"/>
    <w:uiPriority w:val="99"/>
    <w:semiHidden/>
    <w:unhideWhenUsed/>
    <w:rsid w:val="00517CA8"/>
    <w:rPr>
      <w:color w:val="0563C1"/>
      <w:u w:val="single"/>
    </w:rPr>
  </w:style>
  <w:style w:type="table" w:styleId="aa">
    <w:name w:val="Table Grid"/>
    <w:basedOn w:val="a1"/>
    <w:uiPriority w:val="59"/>
    <w:rsid w:val="00517CA8"/>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517CA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4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4D1"/>
    <w:rPr>
      <w:rFonts w:ascii="Tahoma" w:hAnsi="Tahoma" w:cs="Tahoma"/>
      <w:sz w:val="16"/>
      <w:szCs w:val="16"/>
    </w:rPr>
  </w:style>
  <w:style w:type="paragraph" w:styleId="a5">
    <w:name w:val="header"/>
    <w:basedOn w:val="a"/>
    <w:link w:val="a6"/>
    <w:uiPriority w:val="99"/>
    <w:unhideWhenUsed/>
    <w:rsid w:val="002F68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68FD"/>
  </w:style>
  <w:style w:type="paragraph" w:styleId="a7">
    <w:name w:val="footer"/>
    <w:basedOn w:val="a"/>
    <w:link w:val="a8"/>
    <w:uiPriority w:val="99"/>
    <w:unhideWhenUsed/>
    <w:rsid w:val="002F68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68FD"/>
  </w:style>
  <w:style w:type="character" w:styleId="a9">
    <w:name w:val="Hyperlink"/>
    <w:basedOn w:val="a0"/>
    <w:uiPriority w:val="99"/>
    <w:semiHidden/>
    <w:unhideWhenUsed/>
    <w:rsid w:val="00517CA8"/>
    <w:rPr>
      <w:color w:val="0563C1"/>
      <w:u w:val="single"/>
    </w:rPr>
  </w:style>
  <w:style w:type="table" w:styleId="aa">
    <w:name w:val="Table Grid"/>
    <w:basedOn w:val="a1"/>
    <w:uiPriority w:val="59"/>
    <w:rsid w:val="00517CA8"/>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517CA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412805">
      <w:bodyDiv w:val="1"/>
      <w:marLeft w:val="0"/>
      <w:marRight w:val="0"/>
      <w:marTop w:val="0"/>
      <w:marBottom w:val="0"/>
      <w:divBdr>
        <w:top w:val="none" w:sz="0" w:space="0" w:color="auto"/>
        <w:left w:val="none" w:sz="0" w:space="0" w:color="auto"/>
        <w:bottom w:val="none" w:sz="0" w:space="0" w:color="auto"/>
        <w:right w:val="none" w:sz="0" w:space="0" w:color="auto"/>
      </w:divBdr>
    </w:div>
    <w:div w:id="174156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21557</Words>
  <Characters>122880</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2022-08-27T03:10:00Z</dcterms:created>
  <dcterms:modified xsi:type="dcterms:W3CDTF">2023-05-17T14:27:00Z</dcterms:modified>
</cp:coreProperties>
</file>