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458" w:rsidRDefault="009604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60458" w:rsidRPr="00960458" w:rsidRDefault="00960458" w:rsidP="00960458">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960458">
        <w:rPr>
          <w:rFonts w:ascii="Times New Roman CYR" w:hAnsi="Times New Roman CYR" w:cs="Times New Roman CYR"/>
          <w:b/>
          <w:sz w:val="32"/>
          <w:szCs w:val="32"/>
        </w:rPr>
        <w:t>Регулирование застройки земельных участков</w:t>
      </w:r>
    </w:p>
    <w:p w:rsidR="00960458" w:rsidRDefault="00960458" w:rsidP="0096045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960458" w:rsidRDefault="009604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60458" w:rsidRDefault="0096045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АСПЕКТЫ ЗАТРОЙКИ ЗЕМЕЛЬНОГО УЧАСТКА</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земельного участка</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Застройка земельных участков как вид правоотношений</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Предоставление земельных участков под строительство</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 Назначение проекта застройки земельного участка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ОСОБЕННОСТИ ПРОЕКТА ЗАСТРОЙКИ ЗЕМЕЛЬНОГО УЧАСТКА В ГОРОДЕ ЧЕЛЯБИНСКЕ</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Характеристики участка и ближайшего окружения</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Оценка ресурсного качества участка</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АНАЛИЗ НАИЛУДШЕГО И НАИБОЛЕЕ ЭФФЕКТИВНОГО ИСПОЛЬЗОВАНИЯ ЗАСТРОЙКИ ЗЕМЕЛЬНЫХ УЧАСТКОВ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.1Анализ наилучшего и наиболее эффективного использования</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застройки земельных участков</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w:t>
      </w:r>
      <w:r>
        <w:rPr>
          <w:rFonts w:ascii="Times New Roman CYR" w:hAnsi="Times New Roman CYR" w:cs="Times New Roman CYR"/>
          <w:sz w:val="28"/>
          <w:szCs w:val="28"/>
          <w:lang w:val="uk-UA"/>
        </w:rPr>
        <w:t>А</w:t>
      </w:r>
      <w:r>
        <w:rPr>
          <w:rFonts w:ascii="Times New Roman CYR" w:hAnsi="Times New Roman CYR" w:cs="Times New Roman CYR"/>
          <w:sz w:val="28"/>
          <w:szCs w:val="28"/>
        </w:rPr>
        <w:t>ТУРЫ</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60458" w:rsidRPr="005E54B0" w:rsidRDefault="00876F5F" w:rsidP="00960458">
      <w:pPr>
        <w:spacing w:after="0" w:line="360" w:lineRule="auto"/>
        <w:ind w:firstLine="709"/>
        <w:jc w:val="center"/>
        <w:rPr>
          <w:rFonts w:ascii="Calibri" w:eastAsia="Calibri" w:hAnsi="Calibri" w:cs="Times New Roman"/>
          <w:lang w:eastAsia="en-US"/>
        </w:rPr>
      </w:pPr>
      <w:r>
        <w:rPr>
          <w:rFonts w:ascii="Times New Roman CYR" w:hAnsi="Times New Roman CYR" w:cs="Times New Roman CYR"/>
          <w:sz w:val="28"/>
          <w:szCs w:val="28"/>
        </w:rPr>
        <w:br w:type="page"/>
      </w:r>
      <w:hyperlink r:id="rId7" w:history="1">
        <w:r w:rsidR="00960458" w:rsidRPr="005E54B0">
          <w:rPr>
            <w:rFonts w:ascii="Arial" w:eastAsia="Times New Roman" w:hAnsi="Arial" w:cs="Arial"/>
            <w:b/>
            <w:color w:val="0000FF"/>
            <w:sz w:val="32"/>
            <w:szCs w:val="32"/>
            <w:u w:val="single"/>
          </w:rPr>
          <w:t>Написание на заказ курсовых, дипломов, диссертаций...</w:t>
        </w:r>
      </w:hyperlink>
    </w:p>
    <w:p w:rsidR="00FA7FBA" w:rsidRDefault="00FA7FBA">
      <w:pPr>
        <w:widowControl w:val="0"/>
        <w:autoSpaceDE w:val="0"/>
        <w:autoSpaceDN w:val="0"/>
        <w:adjustRightInd w:val="0"/>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экономической жизни России потребовали разработки абсолютно новых подходов к осуществлению земельных преобразований в стране путем переустройства системы земельных отношений как основы управления процессами использования земельных ресурсов страны, ее регионов и муниципальных образований.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 обладает рядом особых характеристик, таких как потенциальный рост ее цены, сложность структуры организации и управления, концентрация на небольших пространствах большого числа производственных, социально- культурных и бытовых объектов, инженерно-транспортной инфраструктуры и т.д.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земельными ресурсами полностью охватывает весь спектр общественных отношений - от социального до экономического, правового, экологического и других видов управления. Из этого следует, что управление земельными ресурсами - сложно организованная система.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Поведение сложных административно-территориальных систем муниципальных образований осложняет принятие управленческих решений. Одним из основных механизмов, с помощью которого осуществляется управление любой территорией, в том числе и территории города Челябинска, должна стать земельно-кадастровая информационная система, обеспечивающая получение, хранение, обработку и выдачу данных, характеризующих динамику </w:t>
      </w:r>
      <w:r>
        <w:rPr>
          <w:rFonts w:ascii="Times New Roman CYR" w:hAnsi="Times New Roman CYR" w:cs="Times New Roman CYR"/>
          <w:sz w:val="28"/>
          <w:szCs w:val="28"/>
        </w:rPr>
        <w:lastRenderedPageBreak/>
        <w:t>развития территориальной системы и ее компонентов. В последнее время в трудах ряда отечественных и зарубежных ученых все больше внимания стало уделяться решению проблем, связанных с управлением земельными ресурсами.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острой необходимости решения задач развития рынка недвижимости, содействия инвестиционной деятельности в этой сфере одним из факторов, сдерживающих темпы их развития является отсутствие развитых положений земельного законодательства о переводе земель из одной категории в иную. Так, известны примеры, когда уже начатое строительство завода сворачивалось из-за того, что земельный участок был отнесен к категории, не допускающей соответствующее строительство, а перевод его в надлежащую категорию был невозможен из-за отсутствия процедуры перевода либо занимал значительный период времени (по крайней мере, в отношении земельных участков, находящихся в федеральной собственности, перевод которых из одной категории в другую осуществлялся по решению Правительства Российской Федерации). Земельным кодекс Российской Федерации предусматривал, что порядок отнесения к категориям и перевода из одной категории в другую земельных участков регулируется специальным федеральным законом.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городе Челябинске земля является муниципальной собственностью, и это можно считать правильным, так как выработка объективного отношения к вопросу о собственности на землю является сложным и болезненным процессом. Поэтому в Челябинской области, как и в других областях России, действуют три формы права на землю: землевладение, землепользование и аренда. В этом случае в качестве предмета сделки выступают не земельные участки, находящиеся в пользовании организации, а право хозяйствования на земле, право потребления и распределения результатов труда. В данном случае товаропроизводитель стремится получить заработок не за счет купли-продажи </w:t>
      </w:r>
      <w:r>
        <w:rPr>
          <w:rFonts w:ascii="Times New Roman CYR" w:hAnsi="Times New Roman CYR" w:cs="Times New Roman CYR"/>
          <w:sz w:val="28"/>
          <w:szCs w:val="28"/>
        </w:rPr>
        <w:lastRenderedPageBreak/>
        <w:t>земельных участков, а путем приложения труда и капитала, направляемого на лучшее использование угодий с целью производства большого количества качественной продукции для общества.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многом спорной является категория земель поселений, так как в поселениях предусмотрено деление земель на территориальные зоны, по сути, соответствующее делению земель на категории. Единственной причиной этому видится порядок налогообложения земель поселений (он определялся местными органами власти самостоятельно), тогда как за чертой поселений Законом Российской Федерации «О плате за землю» для различных категорий устанавливались предельные размеры земельного налога, устанавливаемого субъектом Российской Федерации. С вступлением в силу главы Налогового кодекса Российской Федерации «Земельный налог» эта причина отпадает, так как указанный налог является местным. Для многих предприятий возникала парадоксальная ситуация когда налог за фактически одинаковые соседние земельные участки (один из которых находился в черте города, а другой - за ней) мог различаться в несколько раз.</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дипломного проекта является изучение теоретических, методических и организационных основ экономически эффективного управления земельными ресурсами.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поставленными целями определены следующие задачи изучить: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и методические положения организационно-правового и экономического механизмов управления земельными ресурсами муниципальных образований Российской Федерации;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информационного обеспечения системы управления земельными ресурсами муниципальных образований Российской Федерации;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основные направления экономически эффективного оборота земли и создания единого информационного пространства г.Челябинска как субъекта РФ с использованием современных информационных технологий;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систему ценообразования для земельно-кадастровых и землеустроительных действий и услуг.</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анализа и решения поставленных задач:</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основные направления совершенствования управления земельными ресурсами города Челябинска.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земельными ресурсами - это систематическое, сознательное, целенаправленное воздействие государства и общества на земельные ресурсы.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системы управления земельными ресурсами составляют объект, субъект, предмет, цель, задачи и функции управления.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земельные ресурсы города Челябинска. Предметом исследования является процесс формирования эффективного организационно - экономического механизма управления земельными ресурсами города Челябинска.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использованы Законы РФ, Указы Президента РФ и постановления Правительства России, нормативно-правовые акты законодательных органов РФ и Челябинской области, нормативные документы Росземкадастра, земельно-учетная, экономическая и статистическая информация, нормативно-справочные материалы, специальная научная литература.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Теоретической основой являются труды отечественных и зарубежных ученых, экономистов, землеустроителей в области земельного кадастра, землеустройства, правового и экономического регулирования земельных отношений и управления земельными ресурсами регионов и муниципальных </w:t>
      </w:r>
      <w:r>
        <w:rPr>
          <w:rFonts w:ascii="Times New Roman CYR" w:hAnsi="Times New Roman CYR" w:cs="Times New Roman CYR"/>
          <w:sz w:val="28"/>
          <w:szCs w:val="28"/>
        </w:rPr>
        <w:lastRenderedPageBreak/>
        <w:t>образований, их информационного обеспечения.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использованы экономико-статистический, монографический, и экспериментальный методы исследования.</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АСПЕКТЫ ЗАТРОЙКИ ЗЕМЕЛЬНОГО УЧАСТКА</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земельного участка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Земельные участки уже давно признаны объектами недвижимого имущества и гражданского оборота. Среди объектов недвижимости земельные участки занимают главное место.</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в юридической литературе продолжается дискуссия о понятии земельного участка и его признаках. Кроме того, нет ясности, что является объектом вещных и обязательственных прав и, соответственно, объектом гражданского оборота: земля или земельный участок.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кодекс РФ (далее - ГК РФ) не дает определения земли как объекта гражданских правоотношений. В одних случаях он относит ее к категории «вещь» (как следует из ст. 128 ГК РФ), в других о ней упоминается в значении, не связанном с оборотом (п. 1 ст. 130 ГК РФ). Иногда для этого используется понятие «земельный участок» (например, гл. 17 ГК РФ).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1 Земельном кодексе РФ (далее - ЗК РФ) земля также определяется в разных значениях (как «основа жизни и деятельности человека», как «важнейший компонент окружающей среды», как «средство производства в сельском и лесном хозяйстве», как объект недвижимости и т.д.).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земельного участка раскрывала ст. 6 Земельного кодекса РФ: земельный участок есть часть поверхности земли, границы которой описаны и удостоверены в установленном порядке.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 Анисимов и А.Е. Черноморец полагают, что объектом земельных отношений всегда будет конкретный земельный участок, как бы мал или велик </w:t>
      </w:r>
      <w:r>
        <w:rPr>
          <w:rFonts w:ascii="Times New Roman CYR" w:hAnsi="Times New Roman CYR" w:cs="Times New Roman CYR"/>
          <w:sz w:val="28"/>
          <w:szCs w:val="28"/>
        </w:rPr>
        <w:lastRenderedPageBreak/>
        <w:t>по размерам он ни был. Понятие «земля», как им представляется, является понятием «весьма абстрактным и характеризует лишь ее связь с природой»; понятие земли «есть не что иное, как земельные участки, объединяемые в одну группу по выполняемым функциям или, что одно и то же, в одну категорию по целевому назначению их использования»; понятие «земельный участок» просто заменяется словом «земля», которое является «сокращенным и всем понятным обозначением земельного участка... все понятно и не требует никаких объяснений» [22, с. 28]. Однако совершенно ясно, что следует различать землю как объект природы и природный ресурс, как основу существования индивида, групп людей, этноса в целом, как средство производства, а также как объект гражданских отношений [13, с . 39].</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Выделяются следующие понятия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индивидуализированная в установленном порядке часть поверхности земли (местонахождение, границы, кадастровый номер, размер территории, целевое назначение). Воздушное пространство и его недра не являются частью или принадлежностью участка [14, с. 6];</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геометризованный блок почвенного слоя (плодородная недвижимость) или часть поверхности земли (территориальная недвижимость), границы которых описаны и удостоверены в установленном порядке уполномоченным органом власти, а также все, что находится над и под поверхностью земельного участка, если иное не предусмотрено федеральными законами [19, с. 7];</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неотторжимая часть земной коры, имеющая пространственное расположение по ее поверхности с конкретными границами, местоположением и качеством, а также некоторые сопряженные (связанные с</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ним и им определяемые) объекты [18, с. 11];</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как объект гражданских прав - это часть поверхности земли (включая почвенный слой и иные обособленные объекты недвижимого имущества, в том числе природные объекты, если иное не предусмотрено законами о недрах, об использовании воздушного пространства и иными федеральными законами), границы которой описаны и удостоверены в установленном порядке уполномоченным государственным органом, а земельный участок в природоресурсном законодательстве - это часть поверхности земли (в том числе все, что находится над и под ее поверхностью), границы которой описаны и удостоверены в установленном порядке [20, с. 17];</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объект гражданских прав - это недвижимая вещь в виде обособленной части земли, сформированной в установленном законом порядке, имеющей кадастровый номер, строго целевое назначение, а также индивидуальную определенность (размер, местонахождение, границы) [21, с. 6];</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недвижимая вещь, представляющая собой часть земли с определенными и зафиксированными в установленном порядке пространственными характеристиками (границами, местоположением, площадью), целевым назначением, иными физическими и юридическими характеристиками, которая имеет индивидуальный кадастровый номер и составными частями которой могут быть почва, водные объекты, деревья и другие растения, а также иные прочно связанные с землей объекты природного и антропогенного происхождения [15, с. 17];</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часть поверхности земли (в том числе почвенный слой), границы которой очерчены и удостоверены в установленном порядке уполномоченным государственным органом, а также все, что находится над и под поверхностью земельного участка, если иное не предусмотрено специальными федеральными законами [10, с. 14];</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гражданском праве это - обеспечивающее возможность удовлетворения собственных (частных) интересов материальное благо, права на которое подлежат обязательной государственной регистрации, использование которого возможно только в соответствии с определенным целевым назначением и установленными законодательством ограничениями путем хозяйствования управомоченного субъекта в пространстве, ограниченном замкнутой территориальной границей, проходящей по естественному рельефу земли, описанной и удостоверенной в установленном законом порядке [17, с. 5].</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не все авторы единодушны в том, являются ли другие природные объекты частью (принадлежностью) земельного участка. Кроме того, некоторые специалисты различают земельный участок как объект гражданских прав и как природный объект (Е.А. Гореявчева, К.С. Митягин), как плодородную или территориальную недвижимость (О.В. Шихалева).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А.А. Минаева предлагает следующую систему признаков земельного участка, уточняющих его понятие: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индивидуализирующие признаки: местоположение, площадь и границы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дополнительные признаки: кадастровый номер, целевое назначение, разрешенное использование, установленные на земельный участок права, ограничения этих прав, обременения земельного участка, экономические характеристики, качественные характеристики, наличие объектов недвижимого имущества, прочно связанных с земельным участком [16, с. 6].</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 Корнеев, обобщая имеющиеся законодательные и доктринальные определения земельного участка, выделяет восемь его признаков: земельный участок всегда есть некоторая часть поверхности земли; всякий земельный участок связан с землей как планетарным явлением; каждый участок обладает не </w:t>
      </w:r>
      <w:r>
        <w:rPr>
          <w:rFonts w:ascii="Times New Roman CYR" w:hAnsi="Times New Roman CYR" w:cs="Times New Roman CYR"/>
          <w:sz w:val="28"/>
          <w:szCs w:val="28"/>
        </w:rPr>
        <w:lastRenderedPageBreak/>
        <w:t>только количественными, но и качественными характеристиками; земельный участок - всегда физически сложный, структурированный объект действительности; в составе земельного участка необходимо выделять вертикальный и горизонтальный срезы, позволяющие установить пространственные масштабы данного земельного участка; земельный участок подлежит идентификации; земельный участок обладает свойством делимости; земельный участок является объектом недвижимости [13, с. 45].</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земельный участок можно определить как часть земной поверхности, границы которой определены в соответствии с федеральными законами, обладающую индивидуальным кадастровым номером, местоположением, площадью, целевым назначением, иными физическими и юридическими характеристиками, указанными в федеральном законе. Земельный участок и расположенные на нем объекты недвижимости, природные объекты могут иметь различный правовой режим.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Застройка земельных участков как вид правоотношений</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Застройка земель чаще всего связывается с понятием «строительство». В статье 1 Градостроительного кодекса Российской Федерации (далее - ГрК РФ) строительство определяется как создание зданий, строений, сооружений (в том числе на месте сносимых объектов капительного строительства). Хотя ГрК РФ прямо не закрепляет, что в результате строительства создаются объекты, обладающие признаком капитальности (объекты недвижимого имущества), комплексное толкование норм градостроительного и гражданского законодательств позволяет сделать именно такой вывод.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цивилистической литературе здания и сооружения определяются как </w:t>
      </w:r>
      <w:r>
        <w:rPr>
          <w:rFonts w:ascii="Times New Roman CYR" w:hAnsi="Times New Roman CYR" w:cs="Times New Roman CYR"/>
          <w:sz w:val="28"/>
          <w:szCs w:val="28"/>
        </w:rPr>
        <w:lastRenderedPageBreak/>
        <w:t>рукотворная недвижимость, то есть инженерно-строительные конструкции, объекты, возведенные в результате правомерно осуществленной строительной деятельности.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Зданием, сооружением объект признается после ввода его в эксплуатацию. Для отнесения земельного участка к застроенным в силу наличия на нем объекта, не завершенного строительством, требуется, чтобы был возведен хотя бы фундамент объекта, возможно, начаты работы по возведению стен (что соответствует средней стадии строительства, выделяемой Методическими указаниями по проведению инвентаризации объектов незавершенного строительства, находящихся в федеральной собственности). Застроенный земельный участок характеризуется трансформацией земельной поверхности в связи с наличием незавершенного строительством объекта, и его восстановление в первоначальном виде требует значительных технических и материальных затрат.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при самом поверхностном взгляде застройка земель связана со строительством и появлением объектов, имеющих определенное телесное воплощение, обладающих признаками недвижимого имущества, - здания, сооружения, объекты незавершенного строительства, а также самовольно возведенные постройки. Названные объекты являются недвижимостью в силу их укрепления над (под) земной поверхностью [20].</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Строительству, как особому виду деятельности, в результате которого создается объект недвижимости, свойственны последовательное выполнение ряда целенаправленных действий, определенный технологический процесс. Процесс строительства довольно длителен. Очевидно, что на подготовительных этапах строительства (освобождение территории строительства от имеющихся на ней строений, осушение территории стройки, устройство подъездных путей и </w:t>
      </w:r>
      <w:r>
        <w:rPr>
          <w:rFonts w:ascii="Times New Roman CYR" w:hAnsi="Times New Roman CYR" w:cs="Times New Roman CYR"/>
          <w:sz w:val="28"/>
          <w:szCs w:val="28"/>
        </w:rPr>
        <w:lastRenderedPageBreak/>
        <w:t>т. п.) не может идти речь о застройке земельного участка и наличии застроенного земельного участка. Поскольку строительство включает не только застройку земель, но и иные виды деятельности, как предшествующие, так и сопутствующие процессу застройки земель, то застройка земель - это лишь часть строительной деятельности. В то же время застройка земель имеет место не только при строительстве (возведении новых объектов недвижимости), но и при реконструкции существующих объектов капитального строительства.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и реконструкция являются самостоятельными видами градостроительной деятельности и разновидностями градостроительных отношений (например, статьи 1 и 4 ГрК РФ). Реконструкцией объектов капитального строительства признается, в частности,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Застройка земель в результате реконструкции имеет место, например, при увеличении площади объекта недвижимости путем изменения его внешних границ. Очевидно, что когда для реконструкции объекта необходим дополнительный (возможно и незначительный по площади) земельный участок и в дальнейшем он становится занятым объектом недвижимости, речь идет о застройке земельного участка. Реконструкция недвижимого имущества может быть самовольной.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Застройка земель является способом изменения качественных и юридических характеристик земной поверхности и расположенных на ней (под ней) природных объектов и охватывает только часть работ по созданию объекта недвижимости в процессе строительства, а также по реконструкции недвижимого имущества.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строительстве акцентируется внимание на антропогенном </w:t>
      </w:r>
      <w:r>
        <w:rPr>
          <w:rFonts w:ascii="Times New Roman CYR" w:hAnsi="Times New Roman CYR" w:cs="Times New Roman CYR"/>
          <w:sz w:val="28"/>
          <w:szCs w:val="28"/>
        </w:rPr>
        <w:lastRenderedPageBreak/>
        <w:t>(рукотворном) объекте недвижимости, а при застройке - на природном, природно-антропогенном застраиваемом объекте. Застройка земель и строительство, хотя и взаимосвязанные категории, отличаются не только содержанием, но и объектом. Общим объектом застройки земель (как правоотношения) является земля (земельный участок), объектом строительства - здание (строение, сооружение).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при анализе норм, регулирующих возведение зданий, сооружений (объектов недвижимости), взор исследователя обращается к градостроительному, гражданскому и земельному законодательству, и мало кто направляет свое внимание на иные (в том числе кодифицированные) акты, регулирующие использование лесных, водных природных ресурсов, добычу полезных ископаемых и охрану соответствующих объектов. В связи с этим отсутствует комплексный взгляд на застройку земель как вид природопользования. Между тем рукотворные объекты недвижимости, возводимые в процессе строительства, всегда взаимодействуют с окружающей их природной средой.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Земельное законодательство не содержит какой-либо общий запрет на возведение зданий, сооружений на землях той или иной категории. В то же время законодатель, учитывая целевое назначение и (или) разрешенное использование земельных участков, формирующих категорию земель, определяет потенциальные виды зданий, сооружений, их предназначение, а в отдельных случаях устанавливает полный запрет на использование земель для хозяйственной деятельности.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того, имеет ли размещение зданий, сооружений на земельных участках основной (определяющий) или дополнительный (вспомогательный) характер, существующие категории земель условно могут </w:t>
      </w:r>
      <w:r>
        <w:rPr>
          <w:rFonts w:ascii="Times New Roman CYR" w:hAnsi="Times New Roman CYR" w:cs="Times New Roman CYR"/>
          <w:sz w:val="28"/>
          <w:szCs w:val="28"/>
        </w:rPr>
        <w:lastRenderedPageBreak/>
        <w:t xml:space="preserve">быть разделены на две группы. К первой группе относятся земли населенных пунктов, земли специального назначения и земли водного фонда (речь идет о той части земель, которые заняты гидротехническими и иными сооружениями, расположенными на водных объектах), ко второй - земли сельскохозяйственного назначения, земли особо охраняемых территорий и объектов, земли лесного фонда, земли запаса.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Объекты недвижимости могут быть «вертикально интегрированными», соответственно, речь идет о применении норм законодательства о недрах и об освоении подземного пространства. Освоение подземного пространства производится путем приспособления и переустройства выработок, высвобождающихся от горной и технологической деятельности (выработка отработанных рудников, шахт и подземных сооружений, выведенных из эксплуатации), и строительства специальных подземных объектов. Закон Российской Федерации от 21 февраля 1992 года № 2395-1 «О недрах» [5] (далее - Закон о недрах) разграничивает такие виды деятельности, как добычу полезных ископаемых, в том числе использование отходов горнодобывающего и связанных с ним перерабатывающих производств (подразумевая и строительство необходимых для этого сооружений), а также строительство и эксплуатацию подземных сооружений, не связанных с добычей полезных ископаемых. И в том и в другом случае имеет место недропользование, не всегда получающее должное оформление.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соответствии со статьей 19 Закона о недрах правообладатели земельных участков могут строить подземные сооружения для своих нужд на глубину до пяти метров, а также бытовые колодцы и скважины на первый водоносный горизонт, не являющийся источником централизованного водоснабжения. Несмотря на вторжение в недра, деятельность по возведению </w:t>
      </w:r>
      <w:r>
        <w:rPr>
          <w:rFonts w:ascii="Times New Roman CYR" w:hAnsi="Times New Roman CYR" w:cs="Times New Roman CYR"/>
          <w:sz w:val="28"/>
          <w:szCs w:val="28"/>
        </w:rPr>
        <w:lastRenderedPageBreak/>
        <w:t>названных сооружений является реализацией права на использование земельного участка его собственником, землевладельцем, землепользователем или арендатором, и специального разрешения на использование недр не требуется.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по поводу поверхностных водных объектов составляют предмет правового регулирования водного законодательства, при этом под такими объектами понимаются не только поверхностные воды, но и покрытые ими земли в пределах береговой линии. Такой подход вполне очевиден, поскольку водный объект не может существовать без земельной составляющей. Специфика строительной деятельности и своеобразие водных объектов позволяют предположить использование при строительстве не только и не столько воды (как компонента окружающей среды), водного пространства (акватории), сколько земной поверхности, которая покрыта поверхностной водой.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Здания и сооружения как объекты недвижимого имущества обладают свойством стационарности, обеспечиваемым прикрепленностью к земной поверхности. С учетом этого определение территории гидротехнического сооружения как земельного участка и (или) акватории, содержащееся в статье 3 Федерального закона от 27 июля 1997 года № 117-ФЗ «О безопасности гидротехнических сооружений» [10], может применяться только к некапитальному гидротехническому сооружению, поскольку гидротехническое сооружение как объект недвижимости не может занимать только акваторию.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застройка земель - это общественное отношение (или их система), в рамках которого в результате целенаправленной человеческой деятельности соответствующая часть земной поверхности и расположенных на ней (под ней) природных объектов трансформируется в природно-искусственный объект вследствие создания или реконструкции объекта недвижимости либо в </w:t>
      </w:r>
      <w:r>
        <w:rPr>
          <w:rFonts w:ascii="Times New Roman CYR" w:hAnsi="Times New Roman CYR" w:cs="Times New Roman CYR"/>
          <w:sz w:val="28"/>
          <w:szCs w:val="28"/>
        </w:rPr>
        <w:lastRenderedPageBreak/>
        <w:t>квазиприродный объект.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отдельных случаях преобразование в природно-искусственный объект не происходит, а изменяется уже существующий квазиприродный объект. Такая ситуация имеет место при строительстве объектов недвижимости на водных объектах, имеющих искусственное происхождение, а также на искусственных земельных участках.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заметить, возведение объектов капитального строительства характеризуется воздействием на природную среду в целом как интегрированный объект. Для правового регулирования строительства требуется принятие эколого-взвешенного законодательства, учитывающего взаимосвязь и взаимообусловленность всех природных ресурсов, задействованных в процессе такой деятельности. Рассматривая застройку земель не только как вид использования земельных, но и иных природных объектов, нетрудно сделать следующий вывод: необходимо, чтобы потенциальное желание заинтересованного субъекта возвести объект недвижимости совпадало с нормами законодательства об использовании и охране природных объектов, природных ресурсов в части санкционирования государством строительной деятельности, что уже нашло отражение в проанализированных нами законодательных актах. Целью законодателя при принятии нормативных правовых актов об охране окружающей среды, а также об использовании и охране отдельных природных объектов (земельного, лесного, водного законодательства, законодательства о недрах - природоресурсного законодательства) является нахождение тонкой грани сочетания и обеспечения интересов общества, государства и человека.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Природоресурсное законодательство дозволяет с учетом тех пределов, которые оно же и содержит, определенное юридически значимое поведение в </w:t>
      </w:r>
      <w:r>
        <w:rPr>
          <w:rFonts w:ascii="Times New Roman CYR" w:hAnsi="Times New Roman CYR" w:cs="Times New Roman CYR"/>
          <w:sz w:val="28"/>
          <w:szCs w:val="28"/>
        </w:rPr>
        <w:lastRenderedPageBreak/>
        <w:t>процессе использования природных объектов при их застройке.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Земельное, водное, лесное законодательства, законодательство о недрах, каждое в своей части (в сфере использования соответствующего природного ресурса), содержит положения о строительстве зданий, строений, сооружений. Осознанная общественная потребность в сохранении биоразнообразия животного и растительного миров, обеспечении устойчивого функционирования экосистем и предотвращении негативных последствий строительной деятельности для окружающей среды обусловливает закрепление в нормах природоресурсного законодательства ограничений, касающихся допустимости использования природных объектов для строительства и видов возможных к возведению объектов недвижимости.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Застройка земель является деятельностью, всегда оказывающей влияние на природную среду, поэтому многие нормы Закона об охране окружающей среды непосредственно регулируют отношения по застройке земель и определяют условия строительства и реконструкции. Законодательство об охране окружающей среды исходит из презумпции экологической опасности планируемой хозяйственной и иной деятельности, обязательности оценки воздействия на окружающую среду при принятии решений об осуществлении хозяйственной и иной деятельности.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собственно отношения по строительству объектов капитального строительства, их реконструкции, капитальному ремонту, а также по эксплуатации зданий, сооружений составляют предмет законодательства о градостроительной деятельности. К градостроительным отношениям также отнесены отношения по территориальному планированию, градостроительному зонированию, планировке территории, архитектурно-строительному проектированию (ст. 4 ГрК РФ).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качестве одного из основных принципов законодательства о градостроительной деятельности ГрК РФ называет принцип обеспечения устойчивого развития территорий на основе территориального планирования и градостроительного зонирования (ст. 2). Устойчивое развитие предполагает достижение гармонии трех составляющих: природы, общества и хозяйства. Именно в такой последовательности, поскольку обеспечить устойчивое развитие можно только через бережное отношение к природе, природным ресурсам в интересах всего общества.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Гражданское законодательство определяет право на застройку как элемент содержания права собственности и некоторых иных прав на земельные участки (статьи 263 и 264 ГК РФ). Земельное законодательство развивает положения ГК РФ, закрепляя, что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 (подп. 2 п. 1 ст. 40 ЗК РФ). В соответствии с пунктом 1 статьи 41 ЗК РФ лица, не являющиеся собственниками земельных участков, за исключением обладателей сервитутов, осуществляют права собственников земельных участков в том числе в части права осуществлять строительство.</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возможно выделение четырех основных групп нормативных правовых предпосылок застройки земель в зависимости от их содержания и правовой природы законодательных актов, в которых они указаны: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природоресурсные,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природоохранные,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градостроительные,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гражданско-правовые.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предпосылки являются нормативно-конститутивными условиями застройки земель. Нарушение в комплексе всех четырех видов предпосылок (условий) застройки земель или хотя бы одной из них свидетельствует о противоправности действий по возведению объекта недвижимости или реконструкции такого объекта.</w:t>
      </w:r>
    </w:p>
    <w:p w:rsidR="00FA7FBA" w:rsidRDefault="00876F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1.3 Предоставление земельных участков под строительство</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регулировании отношений по использованию земельных участков для строительства существенное место занимают нормы о предоставлении участков из государственной или муниципальной собственности. При этом в подавляющем числе случаев отношения выстраиваются по поводу предоставления земельных участков либо в частную собственность, либо в аренду с правом последующего выкупа. По сути дела, механизм предоставления земли под застройку одновременно представляет собой и особый механизм приватизации земель. Это накладывает на законодательное регулирование дополнительную ответственность. В данном случае земля не только будет занята строением на неопределенный срок, но и «уходит» из публичной собственности.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реализации положений о предоставлении прав на земельные участки (в том числе для строительства) должны быть соблюдены принципы земельного законодательства, (статья 1 ЗК РФ), в том числе: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 интересов общества и законных интересов граждан, согласно которому регулирование использования и охраны земель осуществляется в интересах всего общества при обеспечении гарантий каждого гражданина на свободное владение, пользование и распоряжение принадлежащим ему земельным участком;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граждан, общественных организаций (объединений) и религиозных организаций в решении вопросов, касающихся их прав на землю;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единство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конституционные нормы и принципы земельного законодательства создают каркас, на котором формируются отношения по поводу приобретения прав на землю в целях строительства.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сочетания интересов общества и законных интересов граждан оказывается важен для приобретения прав на земельные участки в связи с тем, что после застройки длительный период времени земельный участок будет занят капитальным строением, поэтому иное использование участка окажется уже невозможным.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и пределы реализации интересов иных землевладельцев и землепользователей, равно как и содержание их прав на соседние земельные участки, в связи с застройкой подвергнутся корректировке, например возведение промышленного объекта потребует установления охранной зоны, в которую попадут соседние земельные участки, или возведение объекта перекроет привычный подъезд к основной дороге и т. п.</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обстоятельствах, с тем чтобы предупредить и сгладить конфликт, и возникает необходимость введения правовых инструментов, обеспечивающих [12]:</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всех заинтересованных лиц о предстоящем строительстве;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публичных и частных интересов лиц, затрагиваемых застройкой;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равных возможностей заинтересованным лицам в приобретении прав на земельные участки, находящиеся в публичной собственности.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возведение на земельном участке капитального строения опять же на долгое время свяжет единой правовой и экономической судьбой участок земли и недвижимость, на нем расположенную.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связи с этим при возведении постройки важным оказывается верно соотнести права и обязанности участников строительства и лиц, впоследствии приобретающих права на строение и землю. Это одна из сложных правовых задач, решение которой, как известно, зависит от вида возводимого объекта, правового режима земельного участка и правового статуса лица, приобретающего права на землю.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принципа участия граждан и организаций в решении вопросов, касающихся использования земли под застройку, и принципа сочетания публичных и частных интересов при использовании земли взаимосвязаны. Вместе с тем реализация принципа учета мнения граждан и организаций в случае предоставления участков для строительства требует установления особых правовых механизмов. В этом случае их мнение может быть учтено, во-первых, если лица вовремя и правильно проинформированы о строительстве, во-вторых, в законодательстве закреплен порядок сбора и учета мнений заинтересованных лиц. Обращение к основанным положениям регулирования земельных отношений еще раз дает понять, что механизмы предоставления земельных участков для строительства не изолированы от общих норм, составляющих правовую базу регулирования оборота земель в Российской Федерации. Выполняя прикладные задачи, эти механизмы вместе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тем должны следовать общим правовым принципам использования земли и, соответственно, не могут им противоречить.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Изначально статьей 30 Земельного кодекса Российской Федерации устанавливались две основные процедуры предоставления земельных участков для строительства: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участка с предварительным согласованием мест размещения объектов;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предоставление участка без предварительного согласования места размещения объекта.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пункте 2 статьи 30 ЗК РФ определено, что предоставление земельных участков для строительства в собственность без предварительного согласования мест размещения объектов осуществляется исключительно на торгах (конкурсах, аукционах), за исключением случаев, предусмотренных пунктом 2.1 статьи 30 ЗК РФ.</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предварительным согласованием мест размещения объектов земельные участки, как известно, могут быть предоставлены лицу только на основании права аренды, права постоянного (бессрочного) пользования, безвозмездного срочного пользования (п. 3 ст. 30 ЗК РФ).</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торгов в качестве основного способа приобретения прав на землю для строительства преследовало цель обеспечить публичность всей процедуры и конкуренцию при предоставлении земли как ограниченного ресурса.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Приходится признать, что установленные законодательно процедуры сложны, имеют множество исключений и особенностей, зависящих от многих факторов, прежде всего от назначения возводимого объекта. Однако многочисленные изменения норм ЗК РФ, регулирующих предоставление участков для строительства, показывают, на наш взгляд, что найти оптимальный вариант решения проблемы до сих пор не удается.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несмотря на то, что законодатель стремится утвердить торги в качестве основной процедуры, нормы о предоставлении участков без торгов имеют большой вес в регулировании земельных отношений, и правоотношения на их основе выстраиваются весьма активно. Тому, как мы знаем, есть ряд объективных причин. Вместе с тем получение участков без конкурентной </w:t>
      </w:r>
      <w:r>
        <w:rPr>
          <w:rFonts w:ascii="Times New Roman CYR" w:hAnsi="Times New Roman CYR" w:cs="Times New Roman CYR"/>
          <w:sz w:val="28"/>
          <w:szCs w:val="28"/>
        </w:rPr>
        <w:lastRenderedPageBreak/>
        <w:t>процедуры привлекает и недобросовестных застройщиков, на что обращается внимание правоохранительных органов.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или менее действенным механизмом предупреждения злоупотреблений оказывается предварительное оповещение заинтересованных лиц и выяснение их мнения, то есть соблюдение принципа публичности.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местного самоуправления городских и сельских поселений обязаны информировать население о возможном или предстоящем предоставлении земельных участков для строительства. Это положение ЗК РФ призвано обеспечить реализацию гражданами в разумный срок принципов участия в решении вопросов, касающихся прав на землю, а также сочетания интересов общества и отдельных граждан (подпункты 4 и 11 п. 1 ст. 1 ЗК РФ). На этой стадии населением могут быть заявлены возражения против размещения конкретного объекта, а заинтересованными лицами поданы документы на получение того же участка под застройку объектами аналогичного или иного назначения, для чего должен быть определен разумный срок реагирования на соответствующую информацию. По смыслу положений пункта 3 статьи 31 ЗК РФ об обязательном публичном информировании населения о возможном предоставлении конкретного земельного участка под строительство объекта нежилого назначения с предварительным согласованием места его размещения заинтересованные лица не лишены возможности подать заявления о предоставлении им того же земельного участка, даже зная о наличии иных претендентов. При этом ЗК РФ не ограничивает существование указанного права во времени моментом обращения первого из заинтересованных лиц с заявлением в орган местного самоуправления и не устанавливает какие-либо критерии приоритета или отбора при множественности претендентов.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порядок предоставления земельного участка для строительства с </w:t>
      </w:r>
      <w:r>
        <w:rPr>
          <w:rFonts w:ascii="Times New Roman CYR" w:hAnsi="Times New Roman CYR" w:cs="Times New Roman CYR"/>
          <w:sz w:val="28"/>
          <w:szCs w:val="28"/>
        </w:rPr>
        <w:lastRenderedPageBreak/>
        <w:t>предварительным согласованием места размещения объекта, в случае если на этот земельный участок претендуют нескольких лиц, ЗК РФ не урегулирован. Поскольку участок можно предоставить только одному из претендентов, это лицо необходимо определить, что невозможно сделать по правилам выбора земельного участка, предусмотренным статьей 31 ЗК РФ, и в рамках процедуры предоставления земельных участков для строительства с предварительным согласованием места размещения объекта.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такой ситуации право на заключение договора аренды земельного участка подлежит выставлению на торги по правилам пункта 4 статьи 30 ЗК РФ.</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разрешая вопрос о том, как быть, если при предоставлении земельного участка по предварительному согласованию места размещения объекта было подано больше одной заявки, ВАС РФ высказался в пользу объявления процедуры торгов. Отметим, что суд исходил не из прямого указания (которого нет) закона, а из системного толкования всех, направлены на урегулирование вопроса норм, включая, конечно, принципы земельного законодательства.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вынесении решения суд фактически разошелся с мнением Министерства экономического развития Российской Федерации. Согласно этому мнению министерство считает, что Земельным кодексом Российской Федерации не раскрываются формы и сроки информирования населения органами местного самоуправления, а также формы, сроки и процедуры участия граждан в решении вопросов, связанных с предоставлением земельных участков для строительства, когда это затрагивает их интересы (кроме случаев, связанных с использованием территорий и мест традиционного проживания и хозяйственной деятельности коренных малочисленных народов и этнических общностей).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Указанная норма, по мнению Минэкономразвития России, только лишь </w:t>
      </w:r>
      <w:r>
        <w:rPr>
          <w:rFonts w:ascii="Times New Roman CYR" w:hAnsi="Times New Roman CYR" w:cs="Times New Roman CYR"/>
          <w:sz w:val="28"/>
          <w:szCs w:val="28"/>
        </w:rPr>
        <w:lastRenderedPageBreak/>
        <w:t>обязывает органы местного самоуправления своевременно предоставлять соответствующую информацию и не предусматривает обязанность органов местного самоуправления выявлять мнение населения, а также лиц, заинтересованных в предоставлении земельного участка, и учитывать такое мнение при принятии решения о выборе земельного участка или собирать заявления иных лиц о предоставлении испрашиваемого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Высказывая противоположную точку зрения, суд подчеркнул, что при предоставлении земельного участка важна не только правовая природа отношений предоставления участка (при предварительном согласовании земельный участок предоставляется, по сути, в административном порядке, а значит, первый подавший заявку, мог бы претендовать на предоставление участка именно ему), но и то, на решение каких социальных проблем эти процедуры направлены и как эти проблемы справедливо должны быть разрешены. Из этого следует, что любая процедура предоставления участка для строительства должна не только формально соблюдаться, но и обеспечивать публичность и сочетание интересов общества и законных интересов граждан. Это обстоятельство подтверждает, по нашему мнению, обоснованность позиции суда.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предоставления земельного участка на основании предварительного согласования мест размещения объектов, ЗК РФ определена возможность приобретения участков без предварительного согласования и без торгов (подпункты 3 и 4 п. 4 ст. 30 ЗК РФ). Эти две процедуры имеют целый ряд отличий. Так, в частности, при предварительном согласовании мест размещения объектов предоставление участка осуществляется посредством его выбора (ст. 31 ЗК), предоставление участка без предварительного согласования требует формирования участка (ст. 30 ЗК РФ) и т. 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ряде случаев закон специально указывает, какая процедура должна быть применена. При этом правоприменительная практика не допускает возможность замены одной процедуры другой, тем более по воле участников. В целом установление пунктом 1 статьи 30.1 ЗК РФ положения, согласно которому земельные участки для жилищного строительства из земель, находящихся в государственной или муниципальной собственности, предоставляются в собственность или аренду, а в случаях, установленных подпунктом 5 пункта 1 статьи 24 ЗК РФ, - в безвозмездное срочное пользование без предварительного согласования места размещения объекта, не допускает возможности использования этой процедуры в таких отношениях ни при каких обстоятельствах.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предоставление земельных участков в аренду, постоянное (бессрочное) пользование, безвозмездное срочное пользование для жилищного строительства осуществляется по заявлению заинтересованного лица без предварительного согласования места размещения объекта. Вместе с тем положение закона не дают оснований сделать исключение для граждан и требуют предоставления земельных участков для индивидуального жилищного строительства в собственность исключительно на торгах в форме аукциона. Земельный участок предоставляется для индивидуального жилищного строительства вне процедур аукциона или согласования мест размещения объектов. Согласно этой норме предоставление земельного участка в аренду для индивидуального жилищного строительства может осуществляться на основании заявления гражданина, заинтересованного в предоставлении земельного участка. Предварительное согласование не проводится при предоставлении гражданину (на основании любого правового титула) земельного участка для индивидуального жилищного строительства.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Передача земельных участков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 При предварительном согласовании мест размещения объектов уполномоченные органы осуществляют действия не по формированию, а по выбору земельного участка. Орган местного самоуправления по заявлению гражданина или юридического лица либо по обращению исполнительного органа государственной власти обеспечивает выбор земельного участка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 Результаты выбора земельного участка оформляются актом о выборе земельного участка для строительства.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Земельный участок для целей недропользования предоставляется лицу на основании лицензии, выдаваемой в соответствии с Законом Российской Федерации «О недрах» [5]. При этом лицензия выдается на конкретный участок недр в конкретном месте. При таких обстоятельствах ни процедура торгов, ни процедура предоставления участка с предварительным согласованием мест размещения объектов не соответствуют основаниям приобретения прав на земельный участок. Кроме того, выданная недропользователю лицензия представляет собой документ, дающий лицу исключительное право пользования конкретным участком недр. Несмотря на то, что прямого указания в законе на </w:t>
      </w:r>
      <w:r>
        <w:rPr>
          <w:rFonts w:ascii="Times New Roman CYR" w:hAnsi="Times New Roman CYR" w:cs="Times New Roman CYR"/>
          <w:sz w:val="28"/>
          <w:szCs w:val="28"/>
        </w:rPr>
        <w:lastRenderedPageBreak/>
        <w:t>этот счет нет, разумно полагать, что никто, кроме законного пользователя недр, не вправе претендовать на земельный участок, необходимый для этих целей. То есть в этом случае недропользователь обладает преимущественным правом на земельный участок, что, в свою очередь, означает невозможность проведения конкурсных процедур по предоставлению такого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этому поводу хотелось бы сказать следующее. Цель установления особых процедур предоставления земельных участков для строительства заключается, как уже было сказано, в обеспечении публичности процесса. Таким образом, процедуры предоставления участков для строительства - не самоцель, а средство обеспечения публичности. Исходя из изложенного считаем, что при реализации пунктов 2.2 и 11 статьи 30 ЗК РФ предусматривается возможность предоставления земельных участков без проведения торгов и процедуры согласования мест размещения объектов (за исключением случаев предоставления участков в собственность, когда проведение торгов обязательно).</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Назначение проекта застройки земельного участка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застройки земельного участка - вид документации по планировке территории. Подготовка проекта застройки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застройки земельного участка выполняет информационную функцию: в нем должна быть консолидирована информация о всех строительных характеристиках предназначенного для застройки земельного участка и </w:t>
      </w:r>
      <w:r>
        <w:rPr>
          <w:rFonts w:ascii="Times New Roman CYR" w:hAnsi="Times New Roman CYR" w:cs="Times New Roman CYR"/>
          <w:sz w:val="28"/>
          <w:szCs w:val="28"/>
        </w:rPr>
        <w:lastRenderedPageBreak/>
        <w:t>имеющихся в отношении него строительных ограничениях. Проект застройки земельного участка соответствующие строительные характеристики и ограничения в отношении земельного участка не утверждает, а лишь воспроизводит.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застройки земельного участка по существу представляет собой выписку из правил землепользования и застройки, проекта планировки и проекта межевания территории квартала (микрорайона) применительно к конкретному земельному участку, в которой указывается информация о строительных характеристиках предназначенного для застройки участка и имеющихся в отношении него строительных ограничениях. При этом проект не устанавливает соответствующие характеристики, а лишь воспроизводит те из них, которые определены в перечисленных актах в отношении территории, на которой расположен данный участок.</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застройки земельного участка относится к градостроительной документации и является документом, в котором зафиксирована информация, позволяющая ее идентифицировать; как документ не устанавливает каких-либо прав и ограничений, а определяет информацию как сведения и тем самым обеспечивает ее сохранение и накопление, возможность передачи другому лицу, многократное использование, возвращение к информации во времени.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застройки земельного участка необходим для разработки проектной документации для строительства или реконструкции объектов капитального строительства; выдачи разрешения на строительство; выдачи разрешения на ввод объекта в эксплуатацию.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проекта указываются: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зон действия публичных сервитутов;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градостроительном регламенте (в случае, если на земельный участок распространяется действие градостроительного регламента). При этом в проекте застройки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расположенных в границах земельного участка объектах капитального строительства, объектах культурного наследия;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границы зоны планируемого размещения объектов капитального строительства для государственных или муниципальных нужд;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информация о возможности или невозможности разделения земельного участка на несколько земельных участков.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проекта застройки земельного участка осуществляется в составе проекта межевания территории или в виде отдельного документа.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Подготовка и выдача проекта застройки земельного участка осуществляется по заявлению собственника, пользователя либо иного заинтересованного лица и является обязанностью уполномоченного органа, не обусловленной необходимостью обоснования целей истребования проекта и требованием о предоставлении заявителем каких-либо документов, за исключением тех, которые связаны с возможностью идентификации обратившегося лица.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физическое или юридическое лицо обращается в орган местного самоуправления с заявлением о выдаче ему проекта застройки земельного участка, не требуется проведение процедуры публичных слушаний. Орган местного самоуправления в течение тридцати дней со дня поступления указанного обращения осуществляет подготовку проекта застройки земельного участка и утверждает его. Орган местного самоуправления предоставляет заявителю земельного участка без взимания платы [9].</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земельный участок был определен как часть земной поверхности, границы которой определены в соответствии с федеральными законами, обладающую индивидуальным кадастровым номером, местоположением, площадью, целевым назначением, иными физическими и юридическими характеристиками. Выделяют четыре основные группы нормативных правовых предпосылок застройки земель в зависимости от их содержания и правовой природы законодательных актов, в которых они указаны: природоресурсные, природоохранные, градостроительные, гражданско-правовые.Эти предпосылки являются нормативными условиями застройки земель. Установлены две основные процедуры предоставления земельных участков для строительства: предоставление участка с предварительным согласованием мест размещения объектов; предоставление </w:t>
      </w:r>
      <w:r>
        <w:rPr>
          <w:rFonts w:ascii="Times New Roman CYR" w:hAnsi="Times New Roman CYR" w:cs="Times New Roman CYR"/>
          <w:sz w:val="28"/>
          <w:szCs w:val="28"/>
        </w:rPr>
        <w:lastRenderedPageBreak/>
        <w:t>участка без предварительного согласования места размещения объекта. Подготовка проекта застройки земельных участков осуществляется применительно к предназначенным для строительства, объектов капитального строительства земельным участкам.</w:t>
      </w:r>
    </w:p>
    <w:p w:rsidR="00FA7FBA" w:rsidRDefault="00876F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ОСОБЕННОСТИ ПРОЕКТА ЗАСТРОЙКИ ЗЕМЕЛЬНОГО УЧАСТКА В ГОРОДЕ ЧЕЛЯБИНСКЕ</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Характеристики участка и ближайшего окружения</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 расположения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КУРЧАТОВСКИЙ РАЙОН расположен в северо-западной части города. Район образован 15 августа 1985 за счет части территории Калининского, Металлургического и Центрального районов.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района - около 5,5 тыс. га, численность населения - 181,5 тыс. чел. Средний возраст населения значительно ниже, чем в других районах города. По данным официальной статистики на северо-западе города проживает большая часть экономически активного населения города. Что в свою очередь способствует активной застройке и привлечению в этот район молодых семей. Согласно Генплана развития города, основные объемы жилищного строительства будут реализованы в северо-западном направлении (Курчатовский и Калининский районы).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Местоположение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расположен на западной окраине Курчатовского района на пересечении улиц Чичерина и Комсомольского проспекта.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конфигурация, рельеф:</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земельного участка в текущих границах составляет 0,4065 га. Участок имеет прямоугольную форму. Перепад высот ~0,5 метра.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Физические препятствия: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Физических препятствий, ограничивающих доступ к участку, нет.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Визуальная доступность: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Участок обладает хорошей визуальной доступностью как при движении транспорта по ул. Чичерина (в северном и южном направлении), так и придвижении транспорта по Комсомольскому проспекту (в западном и восточном направлении).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Прилегающая территория: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Прилегающая территория характеризуется преобладанием объектов жилого фонда. С северной, западной и восточной стороны от участка расположены десятиэтажные жилые дома. Непосредственно с восточной к участку примыкает проезжая часть Комсомольского проспекта, с западной стороны - проезжая часть улицы Чичерина. С северной стороны участка имеется жилая застройка в виде панельных 10-ти этажных домов. Через дорогу по улице Чичерина (расстояние ~100 метров) расположено медицинское учреждение, через дорогу Комсомольского проспекта расположен производственно-торговый комплекс «Патриот» (расстояние ~90 метров).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местоположения и физических характеристик качество участка может быть оценено как «хорошее».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доступность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основных улиц, обеспечивающих транспортную доступность: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Комсомольский проспект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Протяженность - около 7 км. Проходит в Курчатовском районе от улицы Каслинской до улицы Чичерина. Улица имеет по четыре полосы движения в обоих направлениях. Интенсивность движения легкового транспорта в дневное время в стону Центра составляет порядка 900 автомобилей в час, грузового 50 автомобилей в час, с пиковой нагрузкой с 10 до 11 часов до 1200 автомобилей в час. В обратную сторону порядка 900 автомобилей в час, грузового 50 автомобилей в час, с пиковой нагрузкой с 18 до 19 часов до 1200 автомобилей в </w:t>
      </w:r>
      <w:r>
        <w:rPr>
          <w:rFonts w:ascii="Times New Roman CYR" w:hAnsi="Times New Roman CYR" w:cs="Times New Roman CYR"/>
          <w:sz w:val="28"/>
          <w:szCs w:val="28"/>
        </w:rPr>
        <w:lastRenderedPageBreak/>
        <w:t>час. Имеется движение автобусов, троллейбусов и маршрутных такси.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Улица Чичерина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Протяженность - около 2,5 км. Улица, начинаясь в Курчатовском районе на пересечении с улицей 40 лет Победы, проходит с севера на юг до Комсомольского проспекта, затем до проспекта Победы и упирается в улицу им. Братьев Кашириных. Улица имеет по четыре полосы движения в обоих направлениях, в дневное время в сторону Шерневского водохранилища составляет порядка 700 автомобилей в час, грузового 35 автомобилей в час, с пиковой нагрузкой с 8 до 9 часов до 950 автомобилей в час. В обратную сторону порядка 700 автомобилей в час, грузового 35 автомобилей в час, с пиковой нагрузкой с 20 до 21 часа до 950 автомобилей в час. По улице организовано движение автобусов, и маршрутных такси.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вероятные маршруты: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вероятными маршрутами движения к участку являются Комсомольский проспект и улица Чичерина.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Выезд на улицу Чичерина при движении с юга на север осуществляется по улицам Братьев Кашириных, 250 лет Челябинска, проспект Победы, Комсомольский проспект и улица 40 лет Челябинска.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движении из центральной части города (западная часть Центрального района) наиболее вероятный маршрут пролегает по улице Свердловскому проспекту, переходящей на улицы Братьев Кашириных, проспект Победы и Комсомольский проспект.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вероятный маршрут движения из Советского района проходит по улице Доватора, переходящей в улицу Худякова, проездом через плотину Шершневского водохранилища и выездом на улицу Северную, переходящую в Тополиную аллею, а затем на ул. Братьев Кашириных или Салавата Юлаева.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развитой сети дорог уровень транспортной доступности личным транспортом оценивается как «хорошее».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Общественный транспорт: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непосредственной близости от участка находятся три остановки общественного транспорта. Через них проходят следующие маршруты: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Автобусов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64 - Салавата Юлаева - Торговый комплекс «Синегорье»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31 - Чичерина - ЧМК</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Троллейбусов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22 - Лыжная база - ПкиО им. Гагарина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Маршрутных такси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4, 5, 9, 18, 19, 24, 26, 35а, 43, 48, 49, 52, 54, 60, 62, 64, 65, 67, 76, 88, 91, 94, 98 - позволяющие добраться в любой район города. Стоить заметить, что маршрутные такси применительно к местоположению участка берут на себя более 80% трафика общественного транспорта.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маршруты общественного транспорта связывают участок практически со всеми районами города.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уровень доступности участка общественным транспортом оценивается как «хорошее».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Пешеходная доступность: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обладает наилучшей пешеходной доступностью для жителей жилыхдомов, непосредственно прилегающих к нему с севера, запада и востока. Пешеходные потоки вдоль участка незначительны и в основном генерируются остановками общественного транспорта.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уровень пешеходной доступности участка оценивается как «удовлетворительный».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Инженерная доступность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Водопровод d=300 мм проходит в 10 м. от границы участка с южной стороны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Теплотрасса 2d=400 мм проходит вдоль северной части участка на расстоянии 5 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Сеть бытовой канализации d=400 мм. проходит через участок.</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Трансформаторная подстанция расположена во дворе жилого дома с северной стороны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Отвод поверхностных вод осуществляется в ливневую канализацию по Комсомольскому проспекту</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уровень доступности инженерных коммуникаций оценивается как «хороший»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местоположения: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характеристики местоположения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стратегическими характеристиками местоположения участка являются: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Расположение на Северо-западе Челябинска - в экологически чистой населенной зоне города. Северо-западный район города является «спальным» районом и желанным местом жительства. Кроме того, Северо-запад объединяет три района - Курчатовский и Калининский на севере и немного южнее - часть Центрального района, находящуюся за рекой.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расположен на окраине города - это может повлиять на класс офисного здания (ограничение на строительство офиса А-класса) и арендные ставки как офисной так и торговой части здания.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Локальные характеристики местоположения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Хорошая визуальная доступность со стороны улиц Чичерина и </w:t>
      </w:r>
      <w:r>
        <w:rPr>
          <w:rFonts w:ascii="Times New Roman CYR" w:hAnsi="Times New Roman CYR" w:cs="Times New Roman CYR"/>
          <w:sz w:val="28"/>
          <w:szCs w:val="28"/>
        </w:rPr>
        <w:lastRenderedPageBreak/>
        <w:t>Комсомольского проспекта увеличивает визуальную привлекательность и позволяет использовать витринное и рекламное пространство Объекта;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плотность жилой застройки в ближайшем окружении участка повышает количество постоянных покупателей объекта, проживающих в зоне пешеходной доступности до участка, ориентируя объект на покупателей, не использующих личный и общественный транспорт, тем самым, понижая требования к величине парковочного индекса;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 непосредственной близости от участка остановок общественного транспорта обеспечивает доступность к объекту для населения, использующего общественный транспорт, что увеличивает привлекательность Объекта среди такого населения и несколько снижает требования к величине парковочного индекса.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расположения на окраине района стратегическое местоположение участка оценивается как «удовлетворительное»; локальное как «хорошее».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.2 Оценка ресурсного качества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На основании проведенного анализа, с точки зрения местоположения и транспортной доступности, участок обладает высоким потенциалом для девелопмента Объекта окружного масштаба. Граница зоны влияния для рассматриваемого участка проходят по улице Салавата Юлаева, Комсомольскому проспекту, Свердловскому проспекту, улице Братьев Кашириных и Тополиной аллее вытягиваясь на юг, достигают Шершневского водохранилища.</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48100" cy="35941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59410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Зона влияния</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обслуживания (зона влияния) - это географическая территория, на которой проживает большая часть (95%) обслуживаемого данным Объектом. В пределах зоны обслуживания выделяются три подзоны, в которых проживают«опорные», «тяготеющие» и «перспективные» потребители центра. Данные подзоны имеют следующие названия и характерные особенности: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зона - это географическая территория, на которой проживает большинство потенциальных потребителей центра. Потенциальные потребители, проживающие на территории первичной зоны, составляют 70 - 80 процентов всех регулярных покупателей и являются «опорной» группой.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Вторичная зона охватывает территорию, на которой проживают 15 - 20 процентов потенциальных потребителей центра. Их можно отнести к </w:t>
      </w:r>
      <w:r>
        <w:rPr>
          <w:rFonts w:ascii="Times New Roman CYR" w:hAnsi="Times New Roman CYR" w:cs="Times New Roman CYR"/>
          <w:sz w:val="28"/>
          <w:szCs w:val="28"/>
        </w:rPr>
        <w:lastRenderedPageBreak/>
        <w:t>«тяготеющий» группе.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Третичная (периферийная) зона - наиболее обширная зона обслуживания, с которой могут приезжать около 5-10 процентов постоянных посетителей центра, являющихся «перспективными» потребителями.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Границы зоны влияния Объекта определяются несколькими факторами: типом Объекта (размером и количеством предоставляемых товаров и услуг), доступностью его местоположения, физическими (природными) препятствиями, наличием конкурентных проектов и ограничениями на дорожное движение, а также количеством и составом населения, проживающего в близлежащих районах.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Границы и размеры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ранее участок, в силу небольшой ресурсной емкости, оценен как оптимальный для развития Объекта окружного масштаба, зоны влияния мы определили следующим образом: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зона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первичной зоны влияния определяется границей, находящейся в пределах 10-минутной пешеходной доступности. Границы первичной зоны не выходят за пределы Курчатовского района и проходят по улицам: Салавата Юлаева, 40 лет Победы, Комсомольский проспект и Чичерина.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Вторичная зона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вторичной зоны влияния определяется границей, находящейся в 5-7 минутах транспортной доступности. С севера ограничена улицей 40 лет Победы, с запада улицей Молодогвардейцев, с востока улицей Салавата Юлаева, с юга Тополиной алее.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вторичная зона влияния затрагивает существенный участок западной части Курчатовского и Калининского районов.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Третичная зона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вторичной зоны влияния определяется границей, находящейся в 15-20 минут транспортной доступности. Третичная зона влияния на севере проходит по Комсомольскому проспекту, на востоке Свердловского проспекта, на юге доходит до Шершневского водохранилища, на западе улицу Салавата Юлаева. Таким образом, третичная зона влияния частично представлена в следующих районах города: Калининский, Курчатовский и Центральный.</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2300" cy="41338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413385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Зона влияния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Население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официальным данным, на 1 января 2015 г. в зоне влияния Объекта проживают ~247 тыс. человек (см. таблицу 1).</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Layout w:type="fixed"/>
        <w:tblCellMar>
          <w:left w:w="0" w:type="dxa"/>
          <w:right w:w="0" w:type="dxa"/>
        </w:tblCellMar>
        <w:tblLook w:val="0000" w:firstRow="0" w:lastRow="0" w:firstColumn="0" w:lastColumn="0" w:noHBand="0" w:noVBand="0"/>
      </w:tblPr>
      <w:tblGrid>
        <w:gridCol w:w="1965"/>
        <w:gridCol w:w="3280"/>
      </w:tblGrid>
      <w:tr w:rsidR="00FA7FBA">
        <w:tc>
          <w:tcPr>
            <w:tcW w:w="19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 влияния</w:t>
            </w:r>
          </w:p>
        </w:tc>
        <w:tc>
          <w:tcPr>
            <w:tcW w:w="3280" w:type="dxa"/>
            <w:tcBorders>
              <w:top w:val="single" w:sz="6" w:space="0" w:color="auto"/>
              <w:left w:val="nil"/>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Постоянное население, человек</w:t>
            </w:r>
          </w:p>
        </w:tc>
      </w:tr>
      <w:tr w:rsidR="00FA7FBA">
        <w:tc>
          <w:tcPr>
            <w:tcW w:w="1965" w:type="dxa"/>
            <w:tcBorders>
              <w:top w:val="nil"/>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Первичная</w:t>
            </w:r>
          </w:p>
        </w:tc>
        <w:tc>
          <w:tcPr>
            <w:tcW w:w="3280" w:type="dxa"/>
            <w:tcBorders>
              <w:top w:val="nil"/>
              <w:left w:val="nil"/>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34 500</w:t>
            </w:r>
          </w:p>
        </w:tc>
      </w:tr>
      <w:tr w:rsidR="00FA7FBA">
        <w:tc>
          <w:tcPr>
            <w:tcW w:w="1965" w:type="dxa"/>
            <w:tcBorders>
              <w:top w:val="nil"/>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Вторичная</w:t>
            </w:r>
          </w:p>
        </w:tc>
        <w:tc>
          <w:tcPr>
            <w:tcW w:w="3280" w:type="dxa"/>
            <w:tcBorders>
              <w:top w:val="nil"/>
              <w:left w:val="nil"/>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107 600</w:t>
            </w:r>
          </w:p>
        </w:tc>
      </w:tr>
      <w:tr w:rsidR="00FA7FBA">
        <w:tc>
          <w:tcPr>
            <w:tcW w:w="1965" w:type="dxa"/>
            <w:tcBorders>
              <w:top w:val="nil"/>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Третичная</w:t>
            </w:r>
          </w:p>
        </w:tc>
        <w:tc>
          <w:tcPr>
            <w:tcW w:w="3280" w:type="dxa"/>
            <w:tcBorders>
              <w:top w:val="nil"/>
              <w:left w:val="nil"/>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132 100</w:t>
            </w:r>
          </w:p>
        </w:tc>
      </w:tr>
      <w:tr w:rsidR="00FA7FBA">
        <w:tc>
          <w:tcPr>
            <w:tcW w:w="1965" w:type="dxa"/>
            <w:tcBorders>
              <w:top w:val="nil"/>
              <w:left w:val="single" w:sz="6" w:space="0" w:color="auto"/>
              <w:bottom w:val="nil"/>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3280" w:type="dxa"/>
            <w:tcBorders>
              <w:top w:val="nil"/>
              <w:left w:val="nil"/>
              <w:bottom w:val="nil"/>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274 200</w:t>
            </w:r>
          </w:p>
        </w:tc>
      </w:tr>
    </w:tbl>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Количество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ЧелябинскСтат, расчеты РК «Служба недвижимости»</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Демографический состав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Челябинске женщины составляют 53,0% населения, мужчины, соответственно - 47,0%. Из всего населения зоны влияния 128,9 тыс. человек составляют мужчины, женщины - 145,3 тыс. человек.</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1928"/>
        <w:gridCol w:w="1616"/>
        <w:gridCol w:w="1460"/>
        <w:gridCol w:w="1480"/>
      </w:tblGrid>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 влияния</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Первичная</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18 285</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16 215</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34 500</w:t>
            </w:r>
          </w:p>
        </w:tc>
      </w:tr>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Вторичная</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57 028</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50 572</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107 600</w:t>
            </w:r>
          </w:p>
        </w:tc>
      </w:tr>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Третичная</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70 013</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62 087</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132 100</w:t>
            </w:r>
          </w:p>
        </w:tc>
      </w:tr>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145 326</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128 874</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274 200</w:t>
            </w:r>
          </w:p>
        </w:tc>
      </w:tr>
      <w:tr w:rsidR="00FA7FBA">
        <w:tc>
          <w:tcPr>
            <w:tcW w:w="1928"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Челябинск</w:t>
            </w:r>
          </w:p>
        </w:tc>
        <w:tc>
          <w:tcPr>
            <w:tcW w:w="1616"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578 283</w:t>
            </w:r>
          </w:p>
        </w:tc>
        <w:tc>
          <w:tcPr>
            <w:tcW w:w="146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512 817</w:t>
            </w:r>
          </w:p>
        </w:tc>
        <w:tc>
          <w:tcPr>
            <w:tcW w:w="148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1 091 100</w:t>
            </w:r>
          </w:p>
        </w:tc>
      </w:tr>
    </w:tbl>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Демографический состав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ЧелябинскСтат, расчеты РК «Служба недвижимости»</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Емкость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По экспертной оценке Департамента аналитики РК «Служба недвижимости» реальный среднедушевой доход населения в зоне влияния с учетом коэффициента благополучия зоны составит 11 000 рублей.</w:t>
      </w:r>
    </w:p>
    <w:p w:rsidR="00FA7FBA" w:rsidRDefault="00876F5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tbl>
      <w:tblPr>
        <w:tblW w:w="0" w:type="auto"/>
        <w:tblInd w:w="8"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1515"/>
        <w:gridCol w:w="2454"/>
        <w:gridCol w:w="1663"/>
        <w:gridCol w:w="1942"/>
        <w:gridCol w:w="1782"/>
      </w:tblGrid>
      <w:tr w:rsidR="00FA7FBA">
        <w:tc>
          <w:tcPr>
            <w:tcW w:w="151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 влияния</w:t>
            </w:r>
          </w:p>
        </w:tc>
        <w:tc>
          <w:tcPr>
            <w:tcW w:w="245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Среднедушевой доход населения в зоне влияния Объекта, руб.</w:t>
            </w:r>
          </w:p>
        </w:tc>
        <w:tc>
          <w:tcPr>
            <w:tcW w:w="1663"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Население зоны влияния, чел.  </w:t>
            </w:r>
          </w:p>
        </w:tc>
        <w:tc>
          <w:tcPr>
            <w:tcW w:w="194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Совокупный доход млн.руб./ мес.  </w:t>
            </w:r>
          </w:p>
        </w:tc>
        <w:tc>
          <w:tcPr>
            <w:tcW w:w="178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lang w:val="uk-UA"/>
              </w:rPr>
            </w:pPr>
            <w:r>
              <w:rPr>
                <w:rFonts w:ascii="Times New Roman CYR" w:hAnsi="Times New Roman CYR" w:cs="Times New Roman CYR"/>
                <w:sz w:val="20"/>
                <w:szCs w:val="20"/>
              </w:rPr>
              <w:t xml:space="preserve">Совокупный доход млн.руб./ год. </w:t>
            </w:r>
          </w:p>
        </w:tc>
      </w:tr>
      <w:tr w:rsidR="00FA7FBA">
        <w:tc>
          <w:tcPr>
            <w:tcW w:w="151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Первичная</w:t>
            </w:r>
          </w:p>
        </w:tc>
        <w:tc>
          <w:tcPr>
            <w:tcW w:w="245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11 000</w:t>
            </w:r>
          </w:p>
        </w:tc>
        <w:tc>
          <w:tcPr>
            <w:tcW w:w="1663"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34 500</w:t>
            </w:r>
          </w:p>
        </w:tc>
        <w:tc>
          <w:tcPr>
            <w:tcW w:w="194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379,5</w:t>
            </w:r>
          </w:p>
        </w:tc>
        <w:tc>
          <w:tcPr>
            <w:tcW w:w="178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4554</w:t>
            </w:r>
          </w:p>
        </w:tc>
      </w:tr>
      <w:tr w:rsidR="00FA7FBA">
        <w:tc>
          <w:tcPr>
            <w:tcW w:w="151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Вторична</w:t>
            </w:r>
          </w:p>
        </w:tc>
        <w:tc>
          <w:tcPr>
            <w:tcW w:w="245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11 000</w:t>
            </w:r>
          </w:p>
        </w:tc>
        <w:tc>
          <w:tcPr>
            <w:tcW w:w="1663"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107 600</w:t>
            </w:r>
          </w:p>
        </w:tc>
        <w:tc>
          <w:tcPr>
            <w:tcW w:w="194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1 183,6</w:t>
            </w:r>
          </w:p>
        </w:tc>
        <w:tc>
          <w:tcPr>
            <w:tcW w:w="178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14 203,2</w:t>
            </w:r>
          </w:p>
        </w:tc>
      </w:tr>
      <w:tr w:rsidR="00FA7FBA">
        <w:tc>
          <w:tcPr>
            <w:tcW w:w="151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Третичная</w:t>
            </w:r>
          </w:p>
        </w:tc>
        <w:tc>
          <w:tcPr>
            <w:tcW w:w="245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11 000</w:t>
            </w:r>
          </w:p>
        </w:tc>
        <w:tc>
          <w:tcPr>
            <w:tcW w:w="1663"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132 100</w:t>
            </w:r>
          </w:p>
        </w:tc>
        <w:tc>
          <w:tcPr>
            <w:tcW w:w="194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1 453,1</w:t>
            </w:r>
          </w:p>
        </w:tc>
        <w:tc>
          <w:tcPr>
            <w:tcW w:w="178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17 437,2</w:t>
            </w:r>
          </w:p>
        </w:tc>
      </w:tr>
      <w:tr w:rsidR="00FA7FBA">
        <w:tc>
          <w:tcPr>
            <w:tcW w:w="151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45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11 000</w:t>
            </w:r>
          </w:p>
        </w:tc>
        <w:tc>
          <w:tcPr>
            <w:tcW w:w="1663"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274 200</w:t>
            </w:r>
          </w:p>
        </w:tc>
        <w:tc>
          <w:tcPr>
            <w:tcW w:w="194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3 016,2</w:t>
            </w:r>
          </w:p>
        </w:tc>
        <w:tc>
          <w:tcPr>
            <w:tcW w:w="1782"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36 194,4</w:t>
            </w:r>
          </w:p>
        </w:tc>
      </w:tr>
    </w:tbl>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Оцениваемый уровень доходов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ЧелябинскСтат, расчеты РК «Служба недвижимости»</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населения зоны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Оценка емкости рынка зоны влияния производилась на основании данных о структуре денежных расходов населения г. Челябинска, предоставленный Челябинскстатом(см.рисунок5).</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03700" cy="265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3700" cy="265430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Структура денежных расходов населения г. Челябинска в 2014г</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легкового автотранспорта в зоне влияния:</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В Челябинске на 1000 жителей в 2014 году приходилось 191 легковых </w:t>
      </w:r>
      <w:r>
        <w:rPr>
          <w:rFonts w:ascii="Times New Roman CYR" w:hAnsi="Times New Roman CYR" w:cs="Times New Roman CYR"/>
          <w:sz w:val="28"/>
          <w:szCs w:val="28"/>
        </w:rPr>
        <w:lastRenderedPageBreak/>
        <w:t>автомобилей и тенденция последних лет говорит о том, что в среднесрочной перспективе количество автомобилей на 1000 жителей будет расти в среднем на 5-7% ежегодно.</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0"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70510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Динамика легкового автопарка в г. Челябинске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ЧелябинскСтат, расчеты РК «СЛУЖБА НЕДВИЖИМОСТИ»</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предполагаем, что к 2014 году на 1000 жителей будет приходиться 227 легковых автомобилей. По отношению к 2006 году рост легкового автопарка составит порядка ~20%. Столь серьезное увеличение автопарка с учетом малоповоротливой политики местной администрации вызовет много проблем с транспортной доступностью. Больше всего на наш взгляд пострадают север Центрального района и восточные части Курчатовского и Калининского районов города.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транспортная доступность в городе распределена неоднородно. Подробно см. на рисунке 4.</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4 -. Транспортная доступность в г. Челябинске </w:t>
      </w: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68700" cy="3079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700" cy="3079750"/>
                    </a:xfrm>
                    <a:prstGeom prst="rect">
                      <a:avLst/>
                    </a:prstGeom>
                    <a:noFill/>
                    <a:ln>
                      <a:noFill/>
                    </a:ln>
                  </pic:spPr>
                </pic:pic>
              </a:graphicData>
            </a:graphic>
          </wp:inline>
        </w:drawing>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Экологическая обстановка в зоне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Экологическая обстановка в Челябинске характеризуется большой концентрацией в городе «грязных» производств.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При более детальном рассмотрении экологической обстановки в зоне влияния видно, что участок расположен в западной части Курчатовского района и имеет наименьшее влияние от экологически-грязных производств в городе.</w:t>
      </w:r>
    </w:p>
    <w:p w:rsidR="00FA7FBA" w:rsidRDefault="00876F5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9085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325755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5- Экологическая обстановка Участка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экологическую обстановку можно оценить как «очень хорошую».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зоне влияния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Население зоны влияния в целом составляет 153 тыс. человек. В том числе по торговым зонам: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- 34,5 тыс. чел.;</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Вторичная - 107,6 тыс. чел.;</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Третичная - 132,1 тыс. чел.</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зона влияния будет обеспечивать порядка 70% постоянных покупателей, вторичная зона - 20%, третичная - 10%.</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количество потенциальных постоянных покупателей может составить порядка 58-59 тыс. человек.</w:t>
      </w:r>
    </w:p>
    <w:p w:rsidR="00FA7FBA" w:rsidRDefault="00876F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7"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1790"/>
        <w:gridCol w:w="2465"/>
        <w:gridCol w:w="957"/>
        <w:gridCol w:w="984"/>
      </w:tblGrid>
      <w:tr w:rsidR="00FA7FBA">
        <w:tc>
          <w:tcPr>
            <w:tcW w:w="179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Зона влияния</w:t>
            </w:r>
          </w:p>
        </w:tc>
        <w:tc>
          <w:tcPr>
            <w:tcW w:w="24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Население, человек</w:t>
            </w:r>
          </w:p>
        </w:tc>
        <w:tc>
          <w:tcPr>
            <w:tcW w:w="957"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w:t>
            </w:r>
          </w:p>
        </w:tc>
        <w:tc>
          <w:tcPr>
            <w:tcW w:w="98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FA7FBA">
        <w:tc>
          <w:tcPr>
            <w:tcW w:w="179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Первичная</w:t>
            </w:r>
          </w:p>
        </w:tc>
        <w:tc>
          <w:tcPr>
            <w:tcW w:w="24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34 500</w:t>
            </w:r>
          </w:p>
        </w:tc>
        <w:tc>
          <w:tcPr>
            <w:tcW w:w="957"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98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24150</w:t>
            </w:r>
          </w:p>
        </w:tc>
      </w:tr>
      <w:tr w:rsidR="00FA7FBA">
        <w:tc>
          <w:tcPr>
            <w:tcW w:w="179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Вторична</w:t>
            </w:r>
          </w:p>
        </w:tc>
        <w:tc>
          <w:tcPr>
            <w:tcW w:w="24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107 600</w:t>
            </w:r>
          </w:p>
        </w:tc>
        <w:tc>
          <w:tcPr>
            <w:tcW w:w="957"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8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21520</w:t>
            </w:r>
          </w:p>
        </w:tc>
      </w:tr>
      <w:tr w:rsidR="00FA7FBA">
        <w:tc>
          <w:tcPr>
            <w:tcW w:w="179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Третичная</w:t>
            </w:r>
          </w:p>
        </w:tc>
        <w:tc>
          <w:tcPr>
            <w:tcW w:w="24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132 100</w:t>
            </w:r>
          </w:p>
        </w:tc>
        <w:tc>
          <w:tcPr>
            <w:tcW w:w="957"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98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13210</w:t>
            </w:r>
          </w:p>
        </w:tc>
      </w:tr>
      <w:tr w:rsidR="00FA7FBA">
        <w:tc>
          <w:tcPr>
            <w:tcW w:w="1790"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465"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57"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84" w:type="dxa"/>
            <w:tcBorders>
              <w:top w:val="single" w:sz="6" w:space="0" w:color="auto"/>
              <w:left w:val="single" w:sz="6" w:space="0" w:color="auto"/>
              <w:bottom w:val="single" w:sz="6" w:space="0" w:color="auto"/>
              <w:right w:val="single" w:sz="6" w:space="0" w:color="auto"/>
            </w:tcBorders>
          </w:tcPr>
          <w:p w:rsidR="00FA7FBA" w:rsidRDefault="00876F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58880</w:t>
            </w:r>
          </w:p>
        </w:tc>
      </w:tr>
    </w:tbl>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Расчет количества потенциальных постоянных покупателей</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емкость торговой зоны составляет 30005,2 млн. руб. в год. В том числе по торговым зонам: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- 3775,3 млн. руб. в год;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Вторичная - 11774,5 млн. руб. в год;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Третичная - 14455,4 млн. руб. в год.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зона влияния будет обеспечивать порядка 70% емкости торговой зоны, вторичная зона - 20%, третичная - 10%.</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потенциальная емкость торговой зоны может составить порядка 6443 млн. руб. в год.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непосредственной близости от участка расположены три объекта торговой недвижимости: магазины «Юлия» (GLA - 6200 кв.м.) и «Дикси», Мебельный центр (GLA - 17000 кв.м.).</w:t>
      </w:r>
    </w:p>
    <w:p w:rsidR="00FA7FBA" w:rsidRDefault="00E447B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72000" cy="5175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5175250"/>
                    </a:xfrm>
                    <a:prstGeom prst="rect">
                      <a:avLst/>
                    </a:prstGeom>
                    <a:noFill/>
                    <a:ln>
                      <a:noFill/>
                    </a:ln>
                  </pic:spPr>
                </pic:pic>
              </a:graphicData>
            </a:graphic>
          </wp:inline>
        </w:drawing>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5- Конкуренция участка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Якорными оператором в «Юлии» является продуктовый супермаркет «Гроссмарт» (дискаунтер). В «Дикси» находится одноименный продуктовый супермаркет «Дикси» (дискаунтер). Данные супермаркеты ориентированы на целевую аудиторию эконом-класса.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пределах границ вторичной зоны влияния располагаются магазины «Прииск» (GLA - 5200 кв.м.), «Молния» (GLA - 4420 кв.м.) и ТРК «Фокус» (GLA - 33000 кв.м.). «Прииск» - это классическая торговая галерея: в цоколе продукты </w:t>
      </w:r>
      <w:r>
        <w:rPr>
          <w:rFonts w:ascii="Times New Roman CYR" w:hAnsi="Times New Roman CYR" w:cs="Times New Roman CYR"/>
          <w:sz w:val="28"/>
          <w:szCs w:val="28"/>
        </w:rPr>
        <w:lastRenderedPageBreak/>
        <w:t>питания, на первом и втором этаже непродуктовые товары. «Молния» является супермаркетом и ориентируется на целевую аудиторию среднего класса.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«Фокус» включает в себя таких якорных арендаторов как гипермаркет «Теорема» (продукты питания), «М.Видео» (бытовая техника), «Спортмастер» (спортивные товары), «Бананамама» (детские товары) и восьмизальный кинотеатр. «Фокус» является одним двух профессиональных торговых центров, представленных в Челябинске.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отметить новостройки, которые расширяют границы города на севере и на юге. Дата ввода новостроек заявлена на 2014 год, следовательно, к 2015 году можно ожидать увеличение ресурсной зоны влияния участка и небольшое изменение его качества - компания «Легион» строит жилые дома среднего класса.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виду строительства в непосредственной близости домов среднего класса, может возникнуть потребность на торговую недвижимость среднего класса в непосредственной близости.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анализа социально-экономического положения в Челябинске и сложившейся ситуации на рынке коммерческой недвижимости, местоположения объекта с точки зрения пешеходной и транспортной доступности, а также ресурсной емкости участка предполагаемой застройки, можно сделать вывод о целесообразности строительства на данном участке Объекта районного масштаба со специализированной и продуктовой товарной темой.</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ПРЕДЛОЖЕНИЯ И РЕКОМЕНДАЦИИ ПО ПОВЫШЕНИЮ ЭФФЕКТИВНОСТИ ИСПОЛЬЗОВАНИЯ ПРОЕКТА ЗАСТРОЙКИ </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.1Анализ наилучшего и наиболее эффективного использования</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положения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 обретает стоимость лишь при её использовании, поэтому все доказательства относительно стоимости основаны на анализе возможного использования. Это вносит элемент неоднозначности в оценку земли, так как в зависимости от характера такого использования стоимость одного и того же земельного участка может существенно отличатся, что позволяет говорить о разной стоимости земли при альтернативном использовании. Однако, всегда существует такое использование, которое приводит к наивысшей стоимости земли и будет для неё наиболее эффективным. Именно оно является адекватным с точки зрения участников рынка и должно рассматриваться как основание для определения рыночной стоимости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сегодняшней практике оценки земельных участков отсутствует данный анализ. Как правило, в отчетах выбор и обоснование наиболее эффективного использования сводится к перечислению его критериев и неподтвержденным какими-то либо расчетами утверждению, что использование, под которое выделяется земельный участок, является наиболее эффективным.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выявления и обоснования альтернативного использования недвижимого имущества обеспечивающего максимально продуктивное использование, называется анализом наилучшего и наиболее эффективного использования. При этом наилучшее и наиболее эффективное использование - это вероятное использование свободной земли или собственности с улучшением, </w:t>
      </w:r>
      <w:r>
        <w:rPr>
          <w:rFonts w:ascii="Times New Roman CYR" w:hAnsi="Times New Roman CYR" w:cs="Times New Roman CYR"/>
          <w:sz w:val="28"/>
          <w:szCs w:val="28"/>
        </w:rPr>
        <w:lastRenderedPageBreak/>
        <w:t>которое физически осуществимо, юридически обоснованно, экономически целесообразно и приводит к наивысшей стоимости.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понятие наилучшего и наиболее эффективного использования применяется только к земле. Земля, считается, имеет стоимость, в то время как улучшения вносят свой вклад в стоимость самого недвижимого имущества в целом. Отсюда теоретический акцент анализа наилучшего и наиболее эффективного использования ставится на возможное использование земли, как если бы она была свободной. Даже для улучшенной недвижимости оценка земли как свободной является необходимым условием при определении стоимости недвижимого имущества. Только таким способом может быть определен реальный вклад улучшений в стоимости недвижимости.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наилучшего и наиболее эффективного использования улучшенной недвижимости в оценке недвижимости было разработано в 1960-е годы.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наилучшего и наиболее эффективного использования выполняется: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для участка земли как свободного;</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для участка земли с существующими улучшениями.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анализа наилучшего и наиболее эффективного использования - обоснованный выбор максимально продуктивного использования недвижимости.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окончательном выборе варианта наилучшего и наиболее эффективного использования конкретной собственности руководствуются следующими положениями: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стоимость собственности с улучшениями больше стоимости участка без улучшений, наилучшим и наиболее эффективным использованием будет использование собственности с улучшениями;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стоимость свободного участка превысит стоимость с улучшениями наилучшим и наиболее эффективным использованием будет использование земли как свободной.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Наилучшее и наиболее эффективное использование земли как свободной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наилучшего и наиболее эффективного использования земли как свободной выполняется в двух случаях: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необходимости отдельной оценки участка земли;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выборе объектов для сравнительного анализа.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данного анализа - дать ответ на следующие вопросы: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земля есть или будет свободной, как её следует использовать?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Какой тип здания или сооружения следует построить и когда?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Оценщик должен проанализировать не только текущее состояние рынка, но и дать прогноз его изменения на будущее, так как стоимость определяется, главным образом, потенциальными возможностями. Например, существующее наиболее эффективное использование в ближнем пригороде, как сельскохозяйственной, с ростом города может измениться на использование под строительство жилых индивидуальных домов.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Могут быть случаи, когда наиболее эффективным текущим использованием будет временное или спекулятивное. Временное использование предполагает устройство автостоянок, спортивных площадок. Через некоторое время наиболее эффективным использованием участка может быть строительство офиса.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Спекулятивное использование предполагает удерживание участка свободным до того момента, когда ситуация на рынке будет благоприятна для проведения улучшений.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Часто застроенный участок анализируется как будто бы свободный. В этом </w:t>
      </w:r>
      <w:r>
        <w:rPr>
          <w:rFonts w:ascii="Times New Roman CYR" w:hAnsi="Times New Roman CYR" w:cs="Times New Roman CYR"/>
          <w:sz w:val="28"/>
          <w:szCs w:val="28"/>
        </w:rPr>
        <w:lastRenderedPageBreak/>
        <w:t>случае задачей анализа является определение эффективности текущего использования и связанного с ним дальнейшего использования - реконструкций, модернизаций, ремонта, демонтажа и т.п. Данный свободный участок рассматривается с точки зрения строительства здания, аналогичного существующему. Если такое использование соответствует наиболее эффективному, то разница между текущей стоимостью улучшений и стоимостью новых улучшений будет определять потерю стоимости за счет различных причин.</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наилучшего и наиболее эффективного использования - сопоставление вариантов застройки участка земли. Для каждого варианта застройки рассчитывается остаточная стоимость земли. Самая высокая остаточная стоимость земли соответствует варианту её наилучшего и наиболее эффективного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Наилучшее и наиболее эффективное использование земли с существующими улучшениями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наилучшего и наиболее эффективного использования собственности, как улучшенной, выполняется в следующих случаях: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характера использования собственности, обеспечивающего максимальный возврат инвестированного капитала;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объектов для сравнительного анализа.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данного анализа - дать ответы на следующие вопросы:</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следует использовать существующие улучшения?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Какой тип реконструкции или модернизации следует выполнить и когда?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Наилучшее и наиболее эффективное использование собственности как улучшений - это использование её при наличии существующих улучшений. Анализ такого использования должен дать рекомендации по дальнейшей </w:t>
      </w:r>
      <w:r>
        <w:rPr>
          <w:rFonts w:ascii="Times New Roman CYR" w:hAnsi="Times New Roman CYR" w:cs="Times New Roman CYR"/>
          <w:sz w:val="28"/>
          <w:szCs w:val="28"/>
        </w:rPr>
        <w:lastRenderedPageBreak/>
        <w:t>эксплуатации собственности.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Критерием наилучшего и наиболее эффективного использования собственности как улучшенной, является максимизация стоимости собственности при подходящей долгосрочной норме отдачи и величине риска.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если варианты не предполагают расходов на реконструкцию или модернизацию, то они могут сравниваться непосредственно друг с другом на основе настоящей стоимости будущих доходов. Если требуются расходы на перепрофилирование или реконструкцию, сравнение вариантов может производиться на базе чистой настоящей стоимости или внутренней нормы прибыли проекта реконструкции каждого варианта.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выполнения анализа наилучшего наиболее эффективного использования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ННЭИ участка земли как свободного от улучшений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наилучшего и наиболее эффективного использования земельного участка производиться в следующей последовательности: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рынка и отбор альтернативных вариантов возможного использования, которые разумно осуществимы, с учетом рыночных возможностей и ограничений.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 наилучшего и наиболее эффективного использования конкретного участка земли свободного или земельного участка с улучшениями включает в себя проверку соответствия различных вариантов следующим критериям: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Наилучшее и наиболее эффективное использование земельного участка как свободного, так и с улучшениями, должно удовлетворять четырем критериям: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физически осуществимым;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законодательно разрешенным;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финансово-экономическим целесообразным;</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иметь максимальную доходность.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особенности применения критериев наилучшего и наиболее эффективного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Физическая пригодность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Наилучшее и наиболее эффективное использование собственности зависит от её физических характеристик.</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вариантов использования следует учитывать: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и форму участка, которые могут соответствовать или не соответствовать оптимальному использованию. Например, участок может быть мал для строительства промышленного объекта, который является наилучшим использованием при существующем зонировании.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транспортных и коммунальных удобств может оказаться решающим фактором при выборе варианта использования, например: если бы застройщик был заинтересован в строительстве складских помещений, то предпочтение было бы отдано участку, имеющему выход на сеть скоростных шоссе или на железную дорогу. Для магазинов, ресторанов быстрого обслуживания, мотелей очень важным является визуальная открытость с любой стороны дорожного движения. Отсутствие возможности подключения к магистральному канализационному коллектору может исключить рассматриваемый вариант использования из перечня физически осуществимых.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Инженерно-геологические и гидрогеологические условия могут сделать невозможным проект наиболее эффективного варианта улучшений, за счет, например, низкой несущей способности грунта или высокого уровня подземных вод.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Топографические и географические особенности могут накладывать существенные ограничения на использование. Например, использование участка </w:t>
      </w:r>
      <w:r>
        <w:rPr>
          <w:rFonts w:ascii="Times New Roman CYR" w:hAnsi="Times New Roman CYR" w:cs="Times New Roman CYR"/>
          <w:sz w:val="28"/>
          <w:szCs w:val="28"/>
        </w:rPr>
        <w:lastRenderedPageBreak/>
        <w:t>для сооружения крупного промышленного терминала может стать невозможным из-за рельефа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Юридическая обеспеченность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наилучшего и наиболее эффективного использования собственности следует определить какие варианты использования соответствуют действующим в данной местности законодательным, правительственным, муниципальным актом. Должны быть проанализированы все документы регламентирующие нормативно-юридическую сторону функционального использования. Публичные ограничения включают: правила зонирования; требования по охране окружающей среды; требования на получение разрешения; строительные кодексы; жилищные кодексы; положения о разбивке земли на участки. Прочие публичные ограничения могут включать нормативы энергопотребления, ограничения по затенённости, принудительное изъятие земли для публичного использования и другое.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использования может быть ограничен долгосрочными договорами аренды. Кроме того, могут иметь место частичные или временные ограничения определяющие запрет на использование отдельных видов материалов, ограничения этажности, временный запрет на строительство в данном месте.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случаях применительно к крупным проектам, обязательным требованием является их оценка местными жителями. В других случаях застройщик должен предоставлять определенный процент квартир или такую же часть домов в микрорайонах индивидуальной жилой застройки людям с низким уровнем дохода по ставкам арендной платы или по ценам ниже рыночных. Эти ограничения могут значительно повлиять на вариант наилучшего и наиболее эффективного использования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Могут иметь место частичные или временные ограничения, определяющие запрет, связанный со статусом объекта, как памятника культурно-исторического наследия. Частичные ограничения в большинстве случаев накладывают дополнительные расходы при проведении улучшений, особенно в районах исторически-городской застройки.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законодательных ограничений могут иметь место негативные настроения местного населения, что может сделать невозможным определенный вариант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Частные правовые ограничения включают ограничения на использование объекта, сервитуты и конкретные соглашения. Соседний землевладелец, может владеть зданием, вторгающимся в данный объект. На участке могут находиться захоронения или исторические здания не подлежащие сносу.</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Финансово-экономическая целесообразность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исключения из рассмотрения физически не осуществимых и законодательно не разрешенных вариантов использования, следует выполнить анализ финансовой целесообразности оставшихся вариантов. Критерием финансовой целесообразности является положительный возврат инвестируемого капитала, то есть, возврат равный или больший расходов на компенсацию затрат на содержание, финансовые обязательства и начальные инвестиции.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Направленность исследования финансовой осуществимости будет зависеть от того, на каком рынке представлены физически возможные и юридически разрешенные виды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осуществимость во многом зависит от соотношения спроса и предложения, местоположения.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Проверка на максимальную доходность применяется к тем видам использования, которые соответствовали первым трем критериям. Она не только </w:t>
      </w:r>
      <w:r>
        <w:rPr>
          <w:rFonts w:ascii="Times New Roman CYR" w:hAnsi="Times New Roman CYR" w:cs="Times New Roman CYR"/>
          <w:sz w:val="28"/>
          <w:szCs w:val="28"/>
        </w:rPr>
        <w:lastRenderedPageBreak/>
        <w:t>предполагает рассмотрение стоимости недвижимого имущества, которую можно получить при максимально продуктивном ею использования, но и затрат, связанных с достижением этой стоимости, включая затраты по сносу и переносу строений, затраты по восстановлению окружающей среды, затраты по изменению зонирования и другие.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финансово осуществимых видов использования наиболее эффективным использованием является то использование, которое обеспечивает наивысшую остаточную стоимость земли.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Остаточная стоимость земли может быть найдена путем определения стоимости предполагаемого использования и вычета затрат на создание улучшений.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стоимость застройки по каждой из альтернативных стратегий.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внимание принимаются ресурсное качество участка и технологическая обоснованность различных вариантов застройки.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финансовая обоснованность выявленных стратегий застройки.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каждому варианту составляется прогнозный отчет о доходах. Для каждой стратегии застройки, исходя из допущений и предположений о будущем поведении рынка, рассчитывается чистый операционный доход.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Определяются коэффициенты капитализации для зданий, сооружений и земельного участка. Оценщик может использовать коэффициенты капитализации, определенные исходя из имеющийся рыночной информации или основанные на ожиданиях инвестора.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Производится распределение чистого операционного дохода между зданиями, сооружениями и участком земли.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Определяется остаточная стоимость земли.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высокая остаточная стоимость земли соответствует варианту её наилучшего и наиболее эффективного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участка земли с существующими улучшениями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участка земли с имеющейся застройки производится в следующей последовательности.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Производится отбор вариантов использования, которое разумно осуществимы с учетом рыночных возможностей и организаций;</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стоимость застройки по каждому предлагаемому варианту;</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чистый операционный доход;</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общий коэффициент капитализации;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настоящая стоимость будущих доходов;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Определяются расходы на реконструкцию или ремонт;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Определяется рыночная стоимость единого объекта недвижимого имущества.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высокая чистая настоящая стоимость или внутренняя норма прибыли проекта реконструкции соответствует варианту наилучшего и наиболее эффективного использования земельного участка.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взаимоотношений населения муниципального образования и органов местного самоуправления должно быть удовлетворение потребностей первых и получение налоговых, инновационных и других финансовых поступлений для вторых. Причем органы местного самоуправления должны направлять полученные денежные средства на повышение качества жизни всего населения территории. Главной задачей муниципального управления является </w:t>
      </w:r>
      <w:r>
        <w:rPr>
          <w:rFonts w:ascii="Times New Roman CYR" w:hAnsi="Times New Roman CYR" w:cs="Times New Roman CYR"/>
          <w:sz w:val="28"/>
          <w:szCs w:val="28"/>
        </w:rPr>
        <w:lastRenderedPageBreak/>
        <w:t xml:space="preserve">обеспечение устойчивого существования муниципального образования, которое по своей сути является открытой нестационарной системой, которая должна находиться в состоянии динамического равновесия. Для объектов такого рода характерны две основные особенности: </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параметров составных частей объекта от их пространственного расположения и изменчивость этих параметров во времени.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состояния земельного фонда и его эволюции позволило выявить и систематизировать основные объективные факторы, оказывающие серьезное</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ценность городских земель как материального и экономического ресурса и объекта управления. В настоящее время одной из основных задач повышения эффективности управления земельными ресурсами является оптимизация взимания арендной платы, земельного налога и платы за право аренды или продажи земли в собственность.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управления муниципальной недвижимостью представляет собой совокупность процессов и методов, регулирующих создание, эксплуатацию и</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развитие объектов недвижимости, рациональное распределение финансовых,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трудовых, материальных и других ресурсов, связанных с обеспечением рациональности и доходности от ее использования.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рынка земли выводит земельно-имущественный комплекс на ведущую роль в комплексном развитии территорий, делает его мощным финансово-экономическим инструментом муниципальных органов власти. Анализ деятельности города Челябинска по управлению земельными ресурсами дают все основания активно использовать землю как объект рыночного хозяйствования и инвестиционный ресурс.</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организации управления земельными ресурсами на региональном уровне позволило установить основные проблемы, сдерживающие </w:t>
      </w:r>
      <w:r>
        <w:rPr>
          <w:rFonts w:ascii="Times New Roman CYR" w:hAnsi="Times New Roman CYR" w:cs="Times New Roman CYR"/>
          <w:sz w:val="28"/>
          <w:szCs w:val="28"/>
        </w:rPr>
        <w:lastRenderedPageBreak/>
        <w:t>эффективную реализацию ключевых управленческих задач. На основании этих данных и изучения мирового опыта управления земельными ресурсами сделан вывод о том, что приоритетным направлением совершенствования управления на региональном уровне является реализация системного подхода к регулированию земельных отношений, включающего создание концептуально-методологической основы и конкретных экономических механизмов преобразования управления и решения важнейших задач земельной реформы на современном этапе. Причем в условиях произошедших изменений состояния земельного фонда, правового перераспределения земель и развития земельного рынка необходимо:</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радикальное усиление работы по завершению государственного земельного кадастра, развитию арендных отношений на землю, приватизационных и инвестиционных процессов,</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экономически обоснованных методик оценки земель и определения арендной платы за землю,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автоматизированных технологий управления.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это вместе взятое призвано по существу изменить систему управления земельными ресурсами в городе Челябинске и Челябинской области в целом в частности, повысить ее качество и результативность и привести в итоге к более эффективному использованию земельного потенциала города.</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Ключевым направлением земельной реформы является организация плановой инвентаризации земель и их учета в государственном земельном кадастре. Предложенная в работе стратегия совершенствования управления этим процессом предусматривает централизацию в городе Челябинске важнейших полномочий по организации земельно-кадастровых работ в рамках государственного заказа; регулирование землеустройства в целом; создание </w:t>
      </w:r>
      <w:r>
        <w:rPr>
          <w:rFonts w:ascii="Times New Roman CYR" w:hAnsi="Times New Roman CYR" w:cs="Times New Roman CYR"/>
          <w:sz w:val="28"/>
          <w:szCs w:val="28"/>
        </w:rPr>
        <w:lastRenderedPageBreak/>
        <w:t>системы кадастровых бюро для информационного учета формируемых в процессе инвентаризации кадастровых данных.</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важнейшей проблемой управления земельными ресурсами, землеустройства и регулирования земельных отношений является оценка земель.</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инвестиционной деятельности на региональном уровне в части земельных отношений, предусматривает формирование перечней стратегических отраслей экономики и объектов инвестирования, привлечение инвестиций на конкурсной основе с организацией сертификации и экспертизы инвестиционных проектов, предоставлением льгот и гарантий инвесторам, обеспечением их прав на землю.</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Предложено организовать зонирование территории по принципу разрешенного землепользования в целях упрощения правового анализа использования земель, ввести практику предупредительной экспертизы правоустанавливающей и нормативной документации.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должно быть уделено разработке стратегических направлений информатизации системы управления земельными ресурсами. Рационализация системы управления земельными ресурсами на городском уровне, разработка и реализация экономических механизмов решения ключевых задач земельной реформы представляют собой неотъемлемую часть преобразования управления.</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элементом предлагаемой структурной модели управления земельными ресурсами является централизация важнейших управленческих полномочий в земельных комитетах, включая регулирование процесса землеустройства, оценочной деятельности и арендных отношений на землю, организацию ведения земельного кадастра и контроль за распределением, продажей, использованием земли.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Непосредственный учет земельно-кадастровых данных и государственную оценку земель предлагается возложить на специальное государственное учреждение - кадастровое бюро. Новая технология создания кадастра, обеспечивающая значительное удешевление и ускорение процесса его формирования предусматривает четыре основных этапа: проектирование работ, утверждение их технико-экономического обоснования, оформление финансовой документации и выполнение земельно-кадастровых работ.</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Заключительный этап предлагается реализовать путем последовательного осуществления процедур плановой инвентаризации, земельно-кадастрового картографирования и автоматизации кадастровой информации.</w:t>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принципов формирования земельно-имущественных отношений позволит создать условия для совершенствования системы управления городскими землями и повышения роли земельных платежей в формировании доходной части бюджета, будет способствовать становлению и развитию единого рынка недвижимости в городе Челябинске и его инфраструктуры.</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FA7FBA" w:rsidRDefault="00876F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FA7FBA" w:rsidRDefault="00FA7F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Конституция Российской Федерации. - М., 1993.-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РФ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Налоговый кодекс Российской Федерации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«Земельный кодекс Российской Федерации» от 25.10.2001 N 136-ФЗ 2.</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РФ «Об общих принципах организации местного самоуправления в</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РФ» от 28 августа 1995 года.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25.10.2001 № 137-ФЗ «О введении в действие Земельного кодекса Российской Федерации»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Градостроительный кодекс Российской Федерации от 29.12.2004 №190-ФЗ-Консультант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21 декабря 2004 г. № 172-ФЗ «О переводе земель или земельных участков из одной категории в другую»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28 декабря2013 г. N 446-ФЗ «О внесении изменений</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Федеральный закон «О крестьянском (фермерском) хозяйстве». - Консультант плюс, 2015.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Конституционное право России. Сборник конституционно-правовых актов. Часть 2. Ответственный редактор - академик РАЕН, доктор юридических наук, профессор О.Е.Кутафин.</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Устав города Челябинска. Принят населением на городском референдуме 17 декабря 1995 года Устав зарегистрирован Правовым управлением Законодательного собрания Челябинской области 28 июня 2000 года Регистрационный номер 250.</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Положение о Комитете по управлению имуществом и земельным отношениям города Челябинска (утверждено постановлением Администрации города от </w:t>
      </w:r>
      <w:r>
        <w:rPr>
          <w:rFonts w:ascii="Times New Roman CYR" w:hAnsi="Times New Roman CYR" w:cs="Times New Roman CYR"/>
          <w:sz w:val="28"/>
          <w:szCs w:val="28"/>
        </w:rPr>
        <w:lastRenderedPageBreak/>
        <w:t>02.03.2015 № 45-п).</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Решение Челябинской городской Думы от 05.08.2014г. № 53/3;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743150002014002.</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Решение Челябинской городской Думы от 26.03.2013 № 41/4;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743150002013001.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Челябинской городской Думы от 30.08.2011г. № 26/8;</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745150002011002.</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Решение Челябинской городской Думы от 28.01.2014г. № 48/3;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743150002014001.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Челябинской городской Думы от 24.04.2012г. № 34/4;</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743150002012001.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Челябинской городской Думы от 18.11.2014г. № 2/3;</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743150002014003.</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Челябинской городской Думы от 13.05.2010г. № 13/5;</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НГР: ru 743150002010002.</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Иванова, Н.А. Вопросы совершенствования организации управления земельными ресурсами в Российской Федерации // Землеустройство, кадастр и мониторинг земель. - 2011. - № 7. - С. 28-31.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Основные принципы создания государственного кадастра объектов</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недвижимости / А. С. Бурмакин // Экономические науки. - 2012. - №4. - С.88-93.</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Иванова, Н.А. Особенности развития урбанизированных территорий</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Московской области // Землеустройство, кадастр и мониторинг земель. - 2012. -№ 8. - С. 66-71.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 вопросу о введении в Российской Федерации налога на недвижимость /А.С. Бурмакин // Проблемы совершенствования организации производства и</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управления промышленными предприятиями: межвузовский сборник научных </w:t>
      </w:r>
      <w:r>
        <w:rPr>
          <w:rFonts w:ascii="Times New Roman CYR" w:hAnsi="Times New Roman CYR" w:cs="Times New Roman CYR"/>
          <w:sz w:val="28"/>
          <w:szCs w:val="28"/>
        </w:rPr>
        <w:lastRenderedPageBreak/>
        <w:t>трудов. Вып.1, Ч.2 - Самара: Издательство СГЭУ, 2012. - С.57-66.</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Басов А. Г. Проблемы налогообложения недвижимости в свете реализации Федерального закона № 221-ФЗ «О государственном кадастре объектов недвижимости» / // Экономические науки. - 2011. - №5. - С.37-40.</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Галиновская Е.А. Методика формирования и кадастрового учета земельных участков под объектами культурного наследия //Землеустройство, кадастр и мониторинг земель. 2012. - №6. - С.71-75. .</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Боголюбов С.А., Гаджиев Г.А., Земельное право. М.: Норма-Инфа, 2009.</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Волков С.Н. Экономика землеустройства. М.: Колос, 2011.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Комов Н.В. Управление земельными ресурсами России, Российская модель землепользования и землевладения. М.: Русслит, 2008.</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Комов Н.В., Аратский Д.Б. Методология управления земельными ресурсами на региональном уровне. Нижний Новгород, 2010.</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Леппке О.Б. Научные и организационно-экономические основы регулирования земельных отношений в условиях рыночной экономики (методология и региональный уровень). М.: АгриПресс, 2012.</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Медведев О.И., Денисов Д.В. Совокупная оценка инвестиционной привлекательности региона.// Российский экономический журнал, 2013 с.136.</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Папаскири Т.В., Минаков С.И. Государственное управление земельными</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ресурсами на различных территориальных уровнях// Финансы и кредит. -2012, № 31, с.23 29.</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Подчуфаров К.С. Показатели устойчивого развития региона. // М.: Изд-во</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Рос.экон. акад. Г.В. Плеханова, 2010, с.138.</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Подчуфаров К.С., Подчуфаров С.К.Совершенствование методики определения стоимости земельного участка сельскохозяйственных угодий как инвестиционного ресурса. // Финансы и кредит. - 2012, № 35 с. 56-63.</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Правовое регулирование земельно-имущественных отношений. //Под редакцией д. э. н. Д.Б. Аратского и д. э. н., проф. Л.И. Кошкина - М., 2013г.</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Сборник нормативных актов. //Под общей редакцией - проф. В.Х. Улюкаева. М., 2009.</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Семеншценков А.А., Комов Н.В., Родин А.З., Спиридонов В.Ф., Чернявский В.Г. Предоставление земельных участков для строительства объектов нефтегазового комплекса, промышленности, транспорта, линий связи и электропередачи (Практическое пособие для разработки землеустроительной документации). М: Юни-Пресс, 2008.</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Спиридонов В.Ф., Карцев Г.А. и др. Ограничения (обременения) прав на</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земельных участков. М.:ЗАО «Интердизайн», 2009.</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Строев Е.С., Волков С.Н. Земельный вопрос в России в начале XXI века</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(проблемы и решения). М.: ГУЗ, 2011.</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Сурхаев С.З. «Взаимодействие уровней власти в системе регионального</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землепользования» //Взаимодействие уровней власти в условиях</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Федерализации (опыт России и Германии). Махачкала, 2009.</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и методические основы землеустройства в условиях перехода к новым земельным отношениям. // Монография. Под редакцией С.Н.Волкова. М.: ГУЗ, 2011.</w:t>
      </w:r>
      <w:r>
        <w:rPr>
          <w:rFonts w:ascii="Calibri" w:hAnsi="Calibri" w:cs="Calibri"/>
        </w:rPr>
        <w:t xml:space="preserve"> </w:t>
      </w:r>
      <w:r>
        <w:rPr>
          <w:rFonts w:ascii="Times New Roman CYR" w:hAnsi="Times New Roman CYR" w:cs="Times New Roman CYR"/>
          <w:color w:val="FFFFFF"/>
          <w:sz w:val="28"/>
          <w:szCs w:val="28"/>
        </w:rPr>
        <w:t>застройка земельный ресурсный</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Троицкий В.П., Волков С.Н., Зак И.М. Землеустройство, использование и охрана земельных ресурсов. Словарь-справочник. М, 2008.</w:t>
      </w:r>
    </w:p>
    <w:p w:rsidR="00FA7FBA"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Щеглов.В.А. «Кадастровая оценка земель для целей налогообложения»Часть 2.</w:t>
      </w:r>
    </w:p>
    <w:p w:rsidR="00315219" w:rsidRDefault="00876F5F" w:rsidP="00315219">
      <w:pPr>
        <w:jc w:val="center"/>
      </w:pPr>
      <w:r>
        <w:rPr>
          <w:rFonts w:ascii="Times New Roman CYR" w:hAnsi="Times New Roman CYR" w:cs="Times New Roman CYR"/>
          <w:sz w:val="28"/>
          <w:szCs w:val="28"/>
        </w:rPr>
        <w:t>. «Лучшие города России: 100 лучших российских городов». Статья журнала «Комерсантъ».</w:t>
      </w:r>
      <w:r w:rsidR="00315219" w:rsidRPr="00315219">
        <w:t xml:space="preserve"> </w:t>
      </w:r>
    </w:p>
    <w:tbl>
      <w:tblPr>
        <w:tblStyle w:val="a8"/>
        <w:tblW w:w="0" w:type="auto"/>
        <w:tblInd w:w="0" w:type="dxa"/>
        <w:tblLook w:val="04A0" w:firstRow="1" w:lastRow="0" w:firstColumn="1" w:lastColumn="0" w:noHBand="0" w:noVBand="1"/>
      </w:tblPr>
      <w:tblGrid>
        <w:gridCol w:w="3227"/>
        <w:gridCol w:w="6678"/>
      </w:tblGrid>
      <w:tr w:rsidR="00315219" w:rsidTr="00315219">
        <w:tc>
          <w:tcPr>
            <w:tcW w:w="3227" w:type="dxa"/>
            <w:tcBorders>
              <w:top w:val="single" w:sz="4" w:space="0" w:color="auto"/>
              <w:left w:val="single" w:sz="4" w:space="0" w:color="auto"/>
              <w:bottom w:val="single" w:sz="4" w:space="0" w:color="auto"/>
              <w:right w:val="single" w:sz="4" w:space="0" w:color="auto"/>
            </w:tcBorders>
          </w:tcPr>
          <w:p w:rsidR="00315219" w:rsidRDefault="00315219">
            <w:pPr>
              <w:spacing w:line="480" w:lineRule="auto"/>
              <w:jc w:val="center"/>
            </w:pPr>
          </w:p>
          <w:p w:rsidR="00315219" w:rsidRDefault="00315219">
            <w:pPr>
              <w:spacing w:line="480" w:lineRule="auto"/>
              <w:jc w:val="center"/>
              <w:rPr>
                <w:lang w:val="en-US"/>
              </w:rPr>
            </w:pPr>
            <w:hyperlink r:id="rId15"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15219" w:rsidRDefault="00315219">
            <w:pPr>
              <w:spacing w:line="480" w:lineRule="auto"/>
              <w:jc w:val="center"/>
              <w:rPr>
                <w:lang w:val="en-US"/>
              </w:rPr>
            </w:pPr>
            <w:r>
              <w:rPr>
                <w:noProof/>
              </w:rPr>
              <w:drawing>
                <wp:inline distT="0" distB="0" distL="0" distR="0">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5219" w:rsidRDefault="00315219" w:rsidP="00315219">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15219" w:rsidTr="00315219">
        <w:tc>
          <w:tcPr>
            <w:tcW w:w="4952" w:type="dxa"/>
            <w:tcBorders>
              <w:top w:val="single" w:sz="4" w:space="0" w:color="auto"/>
              <w:left w:val="single" w:sz="4" w:space="0" w:color="auto"/>
              <w:bottom w:val="single" w:sz="4" w:space="0" w:color="auto"/>
              <w:right w:val="single" w:sz="4" w:space="0" w:color="auto"/>
            </w:tcBorders>
          </w:tcPr>
          <w:p w:rsidR="00315219" w:rsidRDefault="00315219">
            <w:pPr>
              <w:spacing w:line="480" w:lineRule="auto"/>
              <w:jc w:val="center"/>
            </w:pPr>
          </w:p>
          <w:p w:rsidR="00315219" w:rsidRDefault="00315219">
            <w:pPr>
              <w:spacing w:line="480" w:lineRule="auto"/>
              <w:jc w:val="center"/>
            </w:pPr>
            <w:hyperlink r:id="rId17"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15219" w:rsidRDefault="00315219">
            <w:pPr>
              <w:spacing w:line="480" w:lineRule="auto"/>
              <w:jc w:val="center"/>
            </w:pPr>
            <w:r>
              <w:rPr>
                <w:noProof/>
              </w:rPr>
              <w:drawing>
                <wp:inline distT="0" distB="0" distL="0" distR="0">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5219" w:rsidRDefault="00315219" w:rsidP="00315219">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15219" w:rsidTr="00315219">
        <w:trPr>
          <w:jc w:val="center"/>
        </w:trPr>
        <w:tc>
          <w:tcPr>
            <w:tcW w:w="3594" w:type="dxa"/>
            <w:tcBorders>
              <w:top w:val="single" w:sz="4" w:space="0" w:color="auto"/>
              <w:left w:val="single" w:sz="4" w:space="0" w:color="auto"/>
              <w:bottom w:val="single" w:sz="4" w:space="0" w:color="auto"/>
              <w:right w:val="single" w:sz="4" w:space="0" w:color="auto"/>
            </w:tcBorders>
          </w:tcPr>
          <w:p w:rsidR="00315219" w:rsidRDefault="00315219">
            <w:pPr>
              <w:spacing w:line="480" w:lineRule="auto"/>
              <w:jc w:val="center"/>
            </w:pPr>
          </w:p>
          <w:p w:rsidR="00315219" w:rsidRDefault="00315219">
            <w:pPr>
              <w:spacing w:line="480" w:lineRule="auto"/>
              <w:jc w:val="center"/>
              <w:rPr>
                <w:rFonts w:ascii="Arial Black" w:hAnsi="Arial Black" w:cs="Arial"/>
                <w:b/>
                <w:sz w:val="28"/>
                <w:szCs w:val="28"/>
              </w:rPr>
            </w:pPr>
            <w:hyperlink r:id="rId19"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15219" w:rsidRDefault="00315219">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5219" w:rsidRDefault="00315219" w:rsidP="00315219">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15219" w:rsidTr="00315219">
        <w:tc>
          <w:tcPr>
            <w:tcW w:w="3652" w:type="dxa"/>
            <w:tcBorders>
              <w:top w:val="single" w:sz="4" w:space="0" w:color="auto"/>
              <w:left w:val="single" w:sz="4" w:space="0" w:color="auto"/>
              <w:bottom w:val="single" w:sz="4" w:space="0" w:color="auto"/>
              <w:right w:val="single" w:sz="4" w:space="0" w:color="auto"/>
            </w:tcBorders>
          </w:tcPr>
          <w:p w:rsidR="00315219" w:rsidRDefault="00315219">
            <w:pPr>
              <w:spacing w:line="480" w:lineRule="auto"/>
              <w:jc w:val="center"/>
            </w:pPr>
          </w:p>
          <w:p w:rsidR="00315219" w:rsidRDefault="00315219">
            <w:pPr>
              <w:spacing w:line="480" w:lineRule="auto"/>
              <w:jc w:val="center"/>
              <w:rPr>
                <w:lang w:val="en-US"/>
              </w:rPr>
            </w:pPr>
            <w:hyperlink r:id="rId2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15219" w:rsidRDefault="00315219">
            <w:pPr>
              <w:spacing w:line="480" w:lineRule="auto"/>
              <w:jc w:val="center"/>
              <w:rPr>
                <w:lang w:val="en-US"/>
              </w:rPr>
            </w:pPr>
            <w:r>
              <w:rPr>
                <w:noProof/>
              </w:rPr>
              <w:drawing>
                <wp:inline distT="0" distB="0" distL="0" distR="0">
                  <wp:extent cx="3752850" cy="18415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15219" w:rsidRDefault="00315219" w:rsidP="00315219">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15219" w:rsidTr="00315219">
        <w:tc>
          <w:tcPr>
            <w:tcW w:w="3936" w:type="dxa"/>
            <w:tcBorders>
              <w:top w:val="single" w:sz="4" w:space="0" w:color="auto"/>
              <w:left w:val="single" w:sz="4" w:space="0" w:color="auto"/>
              <w:bottom w:val="single" w:sz="4" w:space="0" w:color="auto"/>
              <w:right w:val="single" w:sz="4" w:space="0" w:color="auto"/>
            </w:tcBorders>
          </w:tcPr>
          <w:p w:rsidR="00315219" w:rsidRDefault="00315219">
            <w:pPr>
              <w:jc w:val="center"/>
              <w:rPr>
                <w:rFonts w:ascii="Times New Roman CYR" w:eastAsia="Calibri" w:hAnsi="Times New Roman CYR" w:cs="Times New Roman CYR"/>
                <w:sz w:val="24"/>
                <w:szCs w:val="24"/>
              </w:rPr>
            </w:pPr>
          </w:p>
          <w:p w:rsidR="00315219" w:rsidRDefault="00315219">
            <w:pPr>
              <w:jc w:val="center"/>
              <w:rPr>
                <w:rFonts w:ascii="Calibri" w:eastAsia="Calibri" w:hAnsi="Calibri" w:cs="Times New Roman"/>
              </w:rPr>
            </w:pPr>
            <w:hyperlink r:id="rId2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15219" w:rsidRDefault="00315219">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5219" w:rsidRDefault="00315219" w:rsidP="00315219">
      <w:pPr>
        <w:rPr>
          <w:sz w:val="16"/>
          <w:szCs w:val="16"/>
          <w:lang w:eastAsia="en-US"/>
        </w:rPr>
      </w:pPr>
    </w:p>
    <w:p w:rsidR="00876F5F" w:rsidRDefault="00876F5F">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876F5F">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A37" w:rsidRDefault="00CB1A37" w:rsidP="00C40E68">
      <w:pPr>
        <w:spacing w:after="0" w:line="240" w:lineRule="auto"/>
      </w:pPr>
      <w:r>
        <w:separator/>
      </w:r>
    </w:p>
  </w:endnote>
  <w:endnote w:type="continuationSeparator" w:id="0">
    <w:p w:rsidR="00CB1A37" w:rsidRDefault="00CB1A37" w:rsidP="00C4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8" w:rsidRDefault="00C40E6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8" w:rsidRPr="00C40E68" w:rsidRDefault="00C40E68" w:rsidP="00C40E6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C40E68">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C40E68" w:rsidRDefault="00CB1A37" w:rsidP="00C40E68">
    <w:pPr>
      <w:pStyle w:val="a5"/>
    </w:pPr>
    <w:hyperlink r:id="rId1" w:history="1">
      <w:r w:rsidR="00C40E68" w:rsidRPr="00C40E68">
        <w:rPr>
          <w:rFonts w:ascii="Times New Roman CYR" w:eastAsia="Times New Roman" w:hAnsi="Times New Roman CYR" w:cs="Times New Roman CYR"/>
          <w:b/>
          <w:color w:val="0000FF"/>
          <w:sz w:val="28"/>
          <w:szCs w:val="28"/>
          <w:u w:val="single"/>
          <w:lang w:val="en-US"/>
        </w:rPr>
        <w:t>http</w:t>
      </w:r>
      <w:r w:rsidR="00C40E68" w:rsidRPr="00C40E68">
        <w:rPr>
          <w:rFonts w:ascii="Times New Roman CYR" w:eastAsia="Times New Roman" w:hAnsi="Times New Roman CYR" w:cs="Times New Roman CYR"/>
          <w:b/>
          <w:color w:val="0000FF"/>
          <w:sz w:val="28"/>
          <w:szCs w:val="28"/>
          <w:u w:val="single"/>
        </w:rPr>
        <w:t>://учебники.информ2000.рф/</w:t>
      </w:r>
      <w:r w:rsidR="00C40E68" w:rsidRPr="00C40E68">
        <w:rPr>
          <w:rFonts w:ascii="Times New Roman CYR" w:eastAsia="Times New Roman" w:hAnsi="Times New Roman CYR" w:cs="Times New Roman CYR"/>
          <w:b/>
          <w:color w:val="0000FF"/>
          <w:sz w:val="28"/>
          <w:szCs w:val="28"/>
          <w:u w:val="single"/>
          <w:lang w:val="en-US"/>
        </w:rPr>
        <w:t>diplom</w:t>
      </w:r>
      <w:r w:rsidR="00C40E68" w:rsidRPr="00C40E68">
        <w:rPr>
          <w:rFonts w:ascii="Times New Roman CYR" w:eastAsia="Times New Roman" w:hAnsi="Times New Roman CYR" w:cs="Times New Roman CYR"/>
          <w:b/>
          <w:color w:val="0000FF"/>
          <w:sz w:val="28"/>
          <w:szCs w:val="28"/>
          <w:u w:val="single"/>
        </w:rPr>
        <w:t>.</w:t>
      </w:r>
      <w:r w:rsidR="00C40E68" w:rsidRPr="00C40E68">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8" w:rsidRDefault="00C40E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A37" w:rsidRDefault="00CB1A37" w:rsidP="00C40E68">
      <w:pPr>
        <w:spacing w:after="0" w:line="240" w:lineRule="auto"/>
      </w:pPr>
      <w:r>
        <w:separator/>
      </w:r>
    </w:p>
  </w:footnote>
  <w:footnote w:type="continuationSeparator" w:id="0">
    <w:p w:rsidR="00CB1A37" w:rsidRDefault="00CB1A37" w:rsidP="00C40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8" w:rsidRDefault="00C40E6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85" w:rsidRPr="006C2685" w:rsidRDefault="006C2685" w:rsidP="006C268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6C2685">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6C2685" w:rsidRPr="006C2685" w:rsidRDefault="006C2685" w:rsidP="006C268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6C2685">
      <w:rPr>
        <w:rFonts w:ascii="Times New Roman" w:eastAsia="Calibri" w:hAnsi="Times New Roman" w:cs="Times New Roman"/>
        <w:sz w:val="28"/>
        <w:lang w:eastAsia="en-US"/>
      </w:rPr>
      <w:t>http://учебники.информ2000.рф/napisat-diplom.shtml</w:t>
    </w:r>
  </w:p>
  <w:p w:rsidR="00C40E68" w:rsidRDefault="00C40E6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8" w:rsidRDefault="00C40E6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7BD"/>
    <w:rsid w:val="00315219"/>
    <w:rsid w:val="0060075B"/>
    <w:rsid w:val="006C2685"/>
    <w:rsid w:val="00876F5F"/>
    <w:rsid w:val="00960458"/>
    <w:rsid w:val="00C40E68"/>
    <w:rsid w:val="00CB1A37"/>
    <w:rsid w:val="00E447BD"/>
    <w:rsid w:val="00ED09BB"/>
    <w:rsid w:val="00FA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E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0E68"/>
  </w:style>
  <w:style w:type="paragraph" w:styleId="a5">
    <w:name w:val="footer"/>
    <w:basedOn w:val="a"/>
    <w:link w:val="a6"/>
    <w:uiPriority w:val="99"/>
    <w:unhideWhenUsed/>
    <w:rsid w:val="00C40E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0E68"/>
  </w:style>
  <w:style w:type="character" w:styleId="a7">
    <w:name w:val="Hyperlink"/>
    <w:basedOn w:val="a0"/>
    <w:uiPriority w:val="99"/>
    <w:semiHidden/>
    <w:unhideWhenUsed/>
    <w:rsid w:val="00315219"/>
    <w:rPr>
      <w:color w:val="0563C1"/>
      <w:u w:val="single"/>
    </w:rPr>
  </w:style>
  <w:style w:type="table" w:styleId="a8">
    <w:name w:val="Table Grid"/>
    <w:basedOn w:val="a1"/>
    <w:uiPriority w:val="59"/>
    <w:rsid w:val="0031521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1521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5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52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E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0E68"/>
  </w:style>
  <w:style w:type="paragraph" w:styleId="a5">
    <w:name w:val="footer"/>
    <w:basedOn w:val="a"/>
    <w:link w:val="a6"/>
    <w:uiPriority w:val="99"/>
    <w:unhideWhenUsed/>
    <w:rsid w:val="00C40E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0E68"/>
  </w:style>
  <w:style w:type="character" w:styleId="a7">
    <w:name w:val="Hyperlink"/>
    <w:basedOn w:val="a0"/>
    <w:uiPriority w:val="99"/>
    <w:semiHidden/>
    <w:unhideWhenUsed/>
    <w:rsid w:val="00315219"/>
    <w:rPr>
      <w:color w:val="0563C1"/>
      <w:u w:val="single"/>
    </w:rPr>
  </w:style>
  <w:style w:type="table" w:styleId="a8">
    <w:name w:val="Table Grid"/>
    <w:basedOn w:val="a1"/>
    <w:uiPriority w:val="59"/>
    <w:rsid w:val="0031521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1521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5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52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25">
      <w:bodyDiv w:val="1"/>
      <w:marLeft w:val="0"/>
      <w:marRight w:val="0"/>
      <w:marTop w:val="0"/>
      <w:marBottom w:val="0"/>
      <w:divBdr>
        <w:top w:val="none" w:sz="0" w:space="0" w:color="auto"/>
        <w:left w:val="none" w:sz="0" w:space="0" w:color="auto"/>
        <w:bottom w:val="none" w:sz="0" w:space="0" w:color="auto"/>
        <w:right w:val="none" w:sz="0" w:space="0" w:color="auto"/>
      </w:divBdr>
    </w:div>
    <w:div w:id="154902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14324</Words>
  <Characters>81651</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2022-09-07T04:43:00Z</dcterms:created>
  <dcterms:modified xsi:type="dcterms:W3CDTF">2023-05-17T14:33:00Z</dcterms:modified>
</cp:coreProperties>
</file>